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惠州市中大惠亚医院</w:t>
      </w:r>
      <w:r>
        <w:rPr>
          <w:rFonts w:hint="eastAsia" w:asciiTheme="minorEastAsia" w:hAnsiTheme="minorEastAsia" w:eastAsiaTheme="minorEastAsia"/>
          <w:b/>
          <w:color w:val="000000"/>
          <w:sz w:val="32"/>
          <w:szCs w:val="32"/>
          <w:lang w:val="en-US" w:eastAsia="zh-CN"/>
        </w:rPr>
        <w:t>医院PACS系统升级</w:t>
      </w:r>
      <w:r>
        <w:rPr>
          <w:rFonts w:hint="eastAsia" w:asciiTheme="minorEastAsia" w:hAnsiTheme="minorEastAsia" w:eastAsiaTheme="minorEastAsia"/>
          <w:b/>
          <w:color w:val="000000"/>
          <w:sz w:val="32"/>
          <w:szCs w:val="32"/>
        </w:rPr>
        <w:t>需求说明</w:t>
      </w:r>
    </w:p>
    <w:tbl>
      <w:tblPr>
        <w:tblStyle w:val="4"/>
        <w:tblW w:w="887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6257"/>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89" w:type="dxa"/>
            <w:vAlign w:val="center"/>
          </w:tcPr>
          <w:p>
            <w:pPr>
              <w:spacing w:beforeLines="10" w:afterLines="10" w:line="360" w:lineRule="auto"/>
              <w:jc w:val="center"/>
              <w:rPr>
                <w:rFonts w:hint="eastAsia" w:cs="Arial" w:asciiTheme="minorEastAsia" w:hAnsiTheme="minorEastAsia" w:eastAsiaTheme="minorEastAsia"/>
                <w:b/>
                <w:bCs/>
                <w:kern w:val="2"/>
                <w:sz w:val="24"/>
                <w:szCs w:val="24"/>
                <w:lang w:val="en-US" w:eastAsia="zh-CN" w:bidi="ar-SA"/>
              </w:rPr>
            </w:pPr>
            <w:r>
              <w:rPr>
                <w:rFonts w:hint="eastAsia" w:cs="Arial" w:asciiTheme="minorEastAsia" w:hAnsiTheme="minorEastAsia" w:eastAsiaTheme="minorEastAsia"/>
                <w:b/>
                <w:bCs/>
                <w:sz w:val="24"/>
              </w:rPr>
              <w:t>序号</w:t>
            </w:r>
          </w:p>
        </w:tc>
        <w:tc>
          <w:tcPr>
            <w:tcW w:w="6257" w:type="dxa"/>
            <w:vAlign w:val="center"/>
          </w:tcPr>
          <w:p>
            <w:pPr>
              <w:spacing w:beforeLines="10" w:afterLines="10" w:line="360" w:lineRule="auto"/>
              <w:jc w:val="center"/>
              <w:rPr>
                <w:rFonts w:hint="eastAsia" w:cs="Arial" w:asciiTheme="minorEastAsia" w:hAnsiTheme="minorEastAsia" w:eastAsiaTheme="minorEastAsia"/>
                <w:b/>
                <w:bCs/>
                <w:kern w:val="2"/>
                <w:sz w:val="24"/>
                <w:szCs w:val="24"/>
                <w:lang w:val="en-US" w:eastAsia="zh-CN" w:bidi="ar-SA"/>
              </w:rPr>
            </w:pPr>
            <w:r>
              <w:rPr>
                <w:rFonts w:hint="eastAsia" w:cs="Arial" w:asciiTheme="minorEastAsia" w:hAnsiTheme="minorEastAsia" w:eastAsiaTheme="minorEastAsia"/>
                <w:b/>
                <w:bCs/>
                <w:sz w:val="24"/>
                <w:lang w:val="en-US" w:eastAsia="zh-CN"/>
              </w:rPr>
              <w:t>采购项目</w:t>
            </w:r>
            <w:r>
              <w:rPr>
                <w:rFonts w:cs="Arial" w:asciiTheme="minorEastAsia" w:hAnsiTheme="minorEastAsia" w:eastAsiaTheme="minorEastAsia"/>
                <w:b/>
                <w:bCs/>
                <w:sz w:val="24"/>
              </w:rPr>
              <w:t>名称</w:t>
            </w:r>
          </w:p>
        </w:tc>
        <w:tc>
          <w:tcPr>
            <w:tcW w:w="1725" w:type="dxa"/>
            <w:vAlign w:val="center"/>
          </w:tcPr>
          <w:p>
            <w:pPr>
              <w:spacing w:beforeLines="10" w:afterLines="10" w:line="360" w:lineRule="auto"/>
              <w:jc w:val="center"/>
              <w:rPr>
                <w:rFonts w:hint="eastAsia" w:cs="Arial" w:asciiTheme="minorEastAsia" w:hAnsiTheme="minorEastAsia" w:eastAsiaTheme="minorEastAsia"/>
                <w:b/>
                <w:bCs/>
                <w:kern w:val="2"/>
                <w:sz w:val="24"/>
                <w:szCs w:val="24"/>
                <w:lang w:val="en-US" w:eastAsia="zh-CN" w:bidi="ar-SA"/>
              </w:rPr>
            </w:pPr>
            <w:r>
              <w:rPr>
                <w:rFonts w:cs="Arial" w:asciiTheme="minorEastAsia" w:hAnsiTheme="minorEastAsia" w:eastAsiaTheme="minorEastAsia"/>
                <w:b/>
                <w:bCs/>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89" w:type="dxa"/>
            <w:vAlign w:val="center"/>
          </w:tcPr>
          <w:p>
            <w:pPr>
              <w:spacing w:beforeLines="10" w:afterLines="10"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6257" w:type="dxa"/>
            <w:vAlign w:val="center"/>
          </w:tcPr>
          <w:p>
            <w:pPr>
              <w:spacing w:beforeLines="10" w:afterLines="1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医院PACS系统升级</w:t>
            </w:r>
          </w:p>
        </w:tc>
        <w:tc>
          <w:tcPr>
            <w:tcW w:w="1725" w:type="dxa"/>
            <w:vAlign w:val="center"/>
          </w:tcPr>
          <w:p>
            <w:pPr>
              <w:spacing w:beforeLines="10" w:afterLines="1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一项</w:t>
            </w:r>
          </w:p>
        </w:tc>
      </w:tr>
    </w:tbl>
    <w:p>
      <w:pPr>
        <w:numPr>
          <w:ilvl w:val="0"/>
          <w:numId w:val="0"/>
        </w:numPr>
        <w:spacing w:line="360" w:lineRule="auto"/>
        <w:rPr>
          <w:rFonts w:hint="eastAsia" w:asciiTheme="minorEastAsia" w:hAnsiTheme="minorEastAsia" w:eastAsiaTheme="minorEastAsia"/>
          <w:b/>
          <w:color w:val="000000"/>
          <w:sz w:val="24"/>
          <w:szCs w:val="24"/>
        </w:rPr>
      </w:pPr>
      <w:bookmarkStart w:id="0" w:name="_Toc394932584"/>
      <w:r>
        <w:rPr>
          <w:rFonts w:hint="eastAsia" w:asciiTheme="minorEastAsia" w:hAnsiTheme="minorEastAsia" w:eastAsiaTheme="minorEastAsia"/>
          <w:b/>
          <w:color w:val="000000"/>
          <w:sz w:val="24"/>
          <w:szCs w:val="24"/>
          <w:lang w:eastAsia="zh-CN"/>
        </w:rPr>
        <w:t>一、</w:t>
      </w:r>
      <w:r>
        <w:rPr>
          <w:rFonts w:hint="eastAsia" w:asciiTheme="minorEastAsia" w:hAnsiTheme="minorEastAsia" w:eastAsiaTheme="minorEastAsia"/>
          <w:b/>
          <w:color w:val="000000"/>
          <w:sz w:val="24"/>
          <w:szCs w:val="24"/>
        </w:rPr>
        <w:t>项目描述</w:t>
      </w:r>
      <w:bookmarkEnd w:id="0"/>
    </w:p>
    <w:p>
      <w:pPr>
        <w:numPr>
          <w:ilvl w:val="0"/>
          <w:numId w:val="0"/>
        </w:numPr>
        <w:spacing w:line="360" w:lineRule="auto"/>
        <w:ind w:firstLine="420" w:firstLineChars="200"/>
        <w:rPr>
          <w:rFonts w:cs="Arial" w:asciiTheme="minorEastAsia" w:hAnsiTheme="minorEastAsia" w:eastAsiaTheme="minorEastAsia"/>
          <w:sz w:val="24"/>
        </w:rPr>
      </w:pPr>
      <w:r>
        <w:rPr>
          <w:rFonts w:hint="eastAsia"/>
          <w:lang w:val="en-US" w:eastAsia="zh-CN"/>
        </w:rPr>
        <w:t>我院影像管理系统（PACS）为医院筹建期建设，覆盖了放射、超声、內镜、病理、耳鼻喉等医技科室和医院临床工作站，目前已运行10年有余。随着医疗业务的发展，现亟需开展医院影像系统（PACS）升级工作，提升系统安全性，配合医院网络安全管理，满足网络安全等级保护管理2.0要求。同时根据放射科所提需求，优化系统质控管理、报告管理、统计分析管理、预约管理，提升图像处理速度。满足医院影像业务增长的需求，提升患者就医体验。</w:t>
      </w:r>
    </w:p>
    <w:p>
      <w:pPr>
        <w:spacing w:line="360" w:lineRule="auto"/>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lang w:eastAsia="zh-CN"/>
        </w:rPr>
        <w:t>二、</w:t>
      </w:r>
      <w:r>
        <w:rPr>
          <w:rFonts w:hint="eastAsia" w:asciiTheme="minorEastAsia" w:hAnsiTheme="minorEastAsia" w:eastAsiaTheme="minorEastAsia"/>
          <w:b/>
          <w:color w:val="000000"/>
          <w:sz w:val="24"/>
          <w:szCs w:val="24"/>
        </w:rPr>
        <w:t>技术要求</w:t>
      </w:r>
    </w:p>
    <w:p>
      <w:pPr>
        <w:spacing w:line="360" w:lineRule="auto"/>
        <w:rPr>
          <w:rFonts w:cs="Arial" w:asciiTheme="minorEastAsia" w:hAnsiTheme="minorEastAsia" w:eastAsiaTheme="minorEastAsia"/>
          <w:b/>
          <w:bCs w:val="0"/>
          <w:sz w:val="24"/>
        </w:rPr>
      </w:pPr>
      <w:r>
        <w:rPr>
          <w:rFonts w:hint="eastAsia" w:cs="Arial" w:asciiTheme="minorEastAsia" w:hAnsiTheme="minorEastAsia" w:eastAsiaTheme="minorEastAsia"/>
          <w:b/>
          <w:bCs w:val="0"/>
          <w:sz w:val="24"/>
          <w:lang w:eastAsia="zh-CN"/>
        </w:rPr>
        <w:t>（一）</w:t>
      </w:r>
      <w:r>
        <w:rPr>
          <w:rFonts w:hint="eastAsia" w:cs="Arial" w:asciiTheme="minorEastAsia" w:hAnsiTheme="minorEastAsia" w:eastAsiaTheme="minorEastAsia"/>
          <w:b/>
          <w:bCs w:val="0"/>
          <w:sz w:val="24"/>
        </w:rPr>
        <w:t>功能模块</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770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line="360" w:lineRule="auto"/>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序号</w:t>
            </w:r>
          </w:p>
        </w:tc>
        <w:tc>
          <w:tcPr>
            <w:tcW w:w="7705" w:type="dxa"/>
          </w:tcPr>
          <w:p>
            <w:pPr>
              <w:spacing w:line="360" w:lineRule="auto"/>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功能模块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before="62" w:beforeLines="20" w:after="62" w:afterLines="20"/>
              <w:jc w:val="center"/>
              <w:rPr>
                <w:rFonts w:asciiTheme="minorEastAsia" w:hAnsiTheme="minorEastAsia" w:eastAsiaTheme="minorEastAsia"/>
                <w:b/>
                <w:color w:val="000000"/>
                <w:sz w:val="24"/>
              </w:rPr>
            </w:pPr>
            <w:r>
              <w:rPr>
                <w:rFonts w:ascii="宋体" w:hAnsi="宋体"/>
              </w:rPr>
              <w:t>1</w:t>
            </w:r>
          </w:p>
        </w:tc>
        <w:tc>
          <w:tcPr>
            <w:tcW w:w="7705" w:type="dxa"/>
            <w:vAlign w:val="center"/>
          </w:tcPr>
          <w:p>
            <w:pPr>
              <w:spacing w:before="62" w:beforeLines="20" w:after="62" w:afterLines="20"/>
              <w:jc w:val="center"/>
              <w:rPr>
                <w:rFonts w:asciiTheme="minorEastAsia" w:hAnsiTheme="minorEastAsia" w:eastAsiaTheme="minorEastAsia"/>
                <w:b/>
                <w:color w:val="000000"/>
                <w:sz w:val="24"/>
              </w:rPr>
            </w:pPr>
            <w:r>
              <w:rPr>
                <w:rFonts w:hint="eastAsia"/>
              </w:rPr>
              <w:t>放射影像系统科室管理软件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before="62" w:beforeLines="20" w:after="62" w:afterLines="20"/>
              <w:jc w:val="center"/>
              <w:rPr>
                <w:rFonts w:asciiTheme="minorEastAsia" w:hAnsiTheme="minorEastAsia" w:eastAsiaTheme="minorEastAsia"/>
                <w:b/>
                <w:color w:val="000000"/>
                <w:sz w:val="24"/>
              </w:rPr>
            </w:pPr>
            <w:r>
              <w:rPr>
                <w:rFonts w:hint="eastAsia" w:ascii="宋体" w:hAnsi="宋体"/>
              </w:rPr>
              <w:t>2</w:t>
            </w:r>
          </w:p>
        </w:tc>
        <w:tc>
          <w:tcPr>
            <w:tcW w:w="7705" w:type="dxa"/>
            <w:vAlign w:val="center"/>
          </w:tcPr>
          <w:p>
            <w:pPr>
              <w:spacing w:before="62" w:beforeLines="20" w:after="62" w:afterLines="20"/>
              <w:jc w:val="center"/>
              <w:rPr>
                <w:rFonts w:cs="Arial" w:asciiTheme="minorEastAsia" w:hAnsiTheme="minorEastAsia" w:eastAsiaTheme="minorEastAsia"/>
                <w:sz w:val="24"/>
              </w:rPr>
            </w:pPr>
            <w:r>
              <w:rPr>
                <w:rFonts w:hint="eastAsia"/>
              </w:rPr>
              <w:t>临床医生查看影像报告和图像模块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before="62" w:beforeLines="20" w:after="62" w:afterLines="20"/>
              <w:jc w:val="center"/>
              <w:rPr>
                <w:rFonts w:asciiTheme="minorEastAsia" w:hAnsiTheme="minorEastAsia" w:eastAsiaTheme="minorEastAsia"/>
                <w:b/>
                <w:color w:val="000000"/>
                <w:sz w:val="24"/>
              </w:rPr>
            </w:pPr>
            <w:r>
              <w:rPr>
                <w:rFonts w:hint="eastAsia" w:ascii="宋体" w:hAnsi="宋体"/>
              </w:rPr>
              <w:t>3</w:t>
            </w:r>
          </w:p>
        </w:tc>
        <w:tc>
          <w:tcPr>
            <w:tcW w:w="7705" w:type="dxa"/>
            <w:vAlign w:val="center"/>
          </w:tcPr>
          <w:p>
            <w:pPr>
              <w:spacing w:before="62" w:beforeLines="20" w:after="62" w:afterLines="20"/>
              <w:jc w:val="center"/>
              <w:rPr>
                <w:rFonts w:cs="Arial" w:asciiTheme="minorEastAsia" w:hAnsiTheme="minorEastAsia" w:eastAsiaTheme="minorEastAsia"/>
                <w:sz w:val="24"/>
              </w:rPr>
            </w:pPr>
            <w:r>
              <w:rPr>
                <w:rFonts w:ascii="宋体" w:hAnsi="宋体"/>
              </w:rPr>
              <w:t>PACS服务端软件升级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before="62" w:beforeLines="20" w:after="62" w:afterLines="20"/>
              <w:jc w:val="center"/>
              <w:rPr>
                <w:rFonts w:asciiTheme="minorEastAsia" w:hAnsiTheme="minorEastAsia" w:eastAsiaTheme="minorEastAsia"/>
                <w:b/>
                <w:color w:val="000000"/>
                <w:sz w:val="24"/>
              </w:rPr>
            </w:pPr>
            <w:r>
              <w:rPr>
                <w:rFonts w:hint="eastAsia" w:ascii="宋体" w:hAnsi="宋体"/>
              </w:rPr>
              <w:t>4</w:t>
            </w:r>
          </w:p>
        </w:tc>
        <w:tc>
          <w:tcPr>
            <w:tcW w:w="7705" w:type="dxa"/>
            <w:vAlign w:val="center"/>
          </w:tcPr>
          <w:p>
            <w:pPr>
              <w:spacing w:before="62" w:beforeLines="20" w:after="62" w:afterLines="20"/>
              <w:jc w:val="center"/>
              <w:rPr>
                <w:rFonts w:asciiTheme="minorEastAsia" w:hAnsiTheme="minorEastAsia" w:eastAsiaTheme="minorEastAsia"/>
                <w:b/>
                <w:color w:val="000000"/>
                <w:sz w:val="24"/>
              </w:rPr>
            </w:pPr>
            <w:r>
              <w:rPr>
                <w:rFonts w:hint="eastAsia" w:ascii="宋体" w:hAnsi="宋体"/>
              </w:rPr>
              <w:t>放射检查预约</w:t>
            </w:r>
            <w:r>
              <w:rPr>
                <w:rFonts w:hint="eastAsia" w:ascii="宋体" w:hAnsi="宋体"/>
                <w:lang w:eastAsia="zh-CN"/>
              </w:rPr>
              <w:t>自助</w:t>
            </w:r>
            <w:r>
              <w:rPr>
                <w:rFonts w:hint="eastAsia" w:ascii="宋体" w:hAnsi="宋体"/>
              </w:rPr>
              <w:t>报到软件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before="62" w:beforeLines="20" w:after="62" w:afterLines="20"/>
              <w:jc w:val="center"/>
              <w:rPr>
                <w:rFonts w:asciiTheme="minorEastAsia" w:hAnsiTheme="minorEastAsia" w:eastAsiaTheme="minorEastAsia"/>
                <w:b/>
                <w:color w:val="000000"/>
                <w:sz w:val="24"/>
              </w:rPr>
            </w:pPr>
            <w:r>
              <w:rPr>
                <w:rFonts w:hint="eastAsia" w:ascii="宋体" w:hAnsi="宋体"/>
              </w:rPr>
              <w:t>5</w:t>
            </w:r>
          </w:p>
        </w:tc>
        <w:tc>
          <w:tcPr>
            <w:tcW w:w="7705" w:type="dxa"/>
            <w:vAlign w:val="center"/>
          </w:tcPr>
          <w:p>
            <w:pPr>
              <w:spacing w:before="62" w:beforeLines="20" w:after="62" w:afterLines="20"/>
              <w:jc w:val="center"/>
              <w:rPr>
                <w:rFonts w:cs="Arial" w:asciiTheme="minorEastAsia" w:hAnsiTheme="minorEastAsia" w:eastAsiaTheme="minorEastAsia"/>
                <w:sz w:val="24"/>
              </w:rPr>
            </w:pPr>
            <w:r>
              <w:rPr>
                <w:rFonts w:hint="eastAsia"/>
              </w:rPr>
              <w:t>放射科医学影像报告工作站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before="62" w:beforeLines="20" w:after="62" w:afterLines="20"/>
              <w:jc w:val="center"/>
              <w:rPr>
                <w:rFonts w:hint="eastAsia" w:asciiTheme="minorEastAsia" w:hAnsiTheme="minorEastAsia" w:eastAsiaTheme="minorEastAsia"/>
                <w:b/>
                <w:color w:val="000000"/>
                <w:sz w:val="24"/>
              </w:rPr>
            </w:pPr>
            <w:r>
              <w:rPr>
                <w:rFonts w:hint="eastAsia" w:ascii="宋体" w:hAnsi="宋体"/>
              </w:rPr>
              <w:t>6</w:t>
            </w:r>
          </w:p>
        </w:tc>
        <w:tc>
          <w:tcPr>
            <w:tcW w:w="7705" w:type="dxa"/>
            <w:vAlign w:val="center"/>
          </w:tcPr>
          <w:p>
            <w:pPr>
              <w:spacing w:before="62" w:beforeLines="20" w:after="62" w:afterLines="20"/>
              <w:jc w:val="center"/>
              <w:rPr>
                <w:rFonts w:hint="eastAsia" w:eastAsia="宋体" w:cs="Arial" w:asciiTheme="minorEastAsia" w:hAnsiTheme="minorEastAsia"/>
                <w:sz w:val="24"/>
                <w:lang w:eastAsia="zh-CN"/>
              </w:rPr>
            </w:pPr>
            <w:r>
              <w:rPr>
                <w:rFonts w:hint="eastAsia"/>
              </w:rPr>
              <w:t>放射科医学影像报告工作站</w:t>
            </w:r>
            <w:r>
              <w:rPr>
                <w:rFonts w:hint="eastAsia"/>
                <w:lang w:eastAsia="zh-CN"/>
              </w:rPr>
              <w:t>（配套）</w:t>
            </w:r>
          </w:p>
        </w:tc>
      </w:tr>
    </w:tbl>
    <w:p>
      <w:pPr>
        <w:spacing w:line="360" w:lineRule="auto"/>
        <w:rPr>
          <w:rFonts w:cs="Arial" w:asciiTheme="minorEastAsia" w:hAnsiTheme="minorEastAsia" w:eastAsiaTheme="minorEastAsia"/>
          <w:b/>
          <w:bCs/>
          <w:sz w:val="24"/>
          <w:szCs w:val="24"/>
        </w:rPr>
      </w:pPr>
    </w:p>
    <w:p>
      <w:pPr>
        <w:spacing w:line="360" w:lineRule="auto"/>
        <w:rPr>
          <w:rFonts w:hint="eastAsia" w:ascii="宋体" w:hAnsi="宋体" w:eastAsia="宋体" w:cs="宋体"/>
          <w:b/>
          <w:bCs/>
          <w:sz w:val="24"/>
          <w:szCs w:val="24"/>
          <w:lang w:eastAsia="zh-CN"/>
        </w:rPr>
      </w:pPr>
      <w:r>
        <w:rPr>
          <w:rFonts w:hint="eastAsia" w:ascii="宋体" w:hAnsi="宋体" w:cs="宋体"/>
          <w:b/>
          <w:bCs/>
          <w:sz w:val="24"/>
          <w:szCs w:val="24"/>
          <w:lang w:eastAsia="zh-CN"/>
        </w:rPr>
        <w:t>（二）</w:t>
      </w:r>
      <w:r>
        <w:rPr>
          <w:rFonts w:hint="eastAsia" w:ascii="宋体" w:hAnsi="宋体" w:cs="宋体"/>
          <w:b/>
          <w:bCs/>
          <w:sz w:val="24"/>
          <w:szCs w:val="24"/>
        </w:rPr>
        <w:t>详细技术</w:t>
      </w:r>
      <w:r>
        <w:rPr>
          <w:rFonts w:hint="eastAsia" w:ascii="宋体" w:hAnsi="宋体" w:cs="宋体"/>
          <w:b/>
          <w:bCs/>
          <w:sz w:val="24"/>
          <w:szCs w:val="24"/>
          <w:lang w:eastAsia="zh-CN"/>
        </w:rPr>
        <w:t>参数</w:t>
      </w:r>
    </w:p>
    <w:p>
      <w:pPr>
        <w:spacing w:line="360" w:lineRule="auto"/>
        <w:rPr>
          <w:rFonts w:hint="eastAsia" w:ascii="宋体" w:hAnsi="宋体" w:cs="宋体"/>
          <w:b/>
          <w:bCs/>
          <w:sz w:val="24"/>
          <w:szCs w:val="24"/>
        </w:rPr>
      </w:pPr>
      <w:r>
        <w:rPr>
          <w:rFonts w:hint="eastAsia" w:ascii="宋体" w:hAnsi="宋体" w:cs="宋体"/>
          <w:b/>
          <w:bCs/>
          <w:sz w:val="24"/>
          <w:szCs w:val="24"/>
          <w:lang w:val="en-US" w:eastAsia="zh-CN"/>
        </w:rPr>
        <w:t>1、</w:t>
      </w:r>
      <w:r>
        <w:rPr>
          <w:rFonts w:hint="eastAsia" w:ascii="宋体" w:hAnsi="宋体" w:cs="宋体"/>
          <w:b/>
          <w:bCs/>
          <w:sz w:val="24"/>
          <w:szCs w:val="24"/>
        </w:rPr>
        <w:t>基本要求</w:t>
      </w:r>
    </w:p>
    <w:p>
      <w:pPr>
        <w:spacing w:line="360" w:lineRule="auto"/>
        <w:rPr>
          <w:rFonts w:hint="eastAsia" w:ascii="宋体" w:hAnsi="宋体" w:cs="宋体"/>
          <w:lang w:val="en-US" w:eastAsia="zh-CN"/>
        </w:rPr>
      </w:pPr>
      <w:r>
        <w:rPr>
          <w:rFonts w:hint="eastAsia" w:ascii="宋体" w:hAnsi="宋体"/>
          <w:lang w:eastAsia="zh-CN"/>
        </w:rPr>
        <w:t>（</w:t>
      </w:r>
      <w:r>
        <w:rPr>
          <w:rFonts w:hint="eastAsia" w:ascii="宋体" w:hAnsi="宋体"/>
          <w:lang w:val="en-US" w:eastAsia="zh-CN"/>
        </w:rPr>
        <w:t>1</w:t>
      </w:r>
      <w:r>
        <w:rPr>
          <w:rFonts w:hint="eastAsia" w:ascii="宋体" w:hAnsi="宋体"/>
          <w:lang w:eastAsia="zh-CN"/>
        </w:rPr>
        <w:t>）</w:t>
      </w:r>
      <w:r>
        <w:rPr>
          <w:rFonts w:hint="eastAsia" w:ascii="宋体" w:hAnsi="宋体"/>
        </w:rPr>
        <w:t>本次PA</w:t>
      </w:r>
      <w:r>
        <w:rPr>
          <w:rFonts w:hint="eastAsia" w:ascii="宋体" w:hAnsi="宋体" w:cs="宋体"/>
        </w:rPr>
        <w:t>CS系统升级</w:t>
      </w:r>
      <w:r>
        <w:rPr>
          <w:rFonts w:hint="eastAsia" w:ascii="宋体" w:hAnsi="宋体" w:cs="宋体"/>
          <w:lang w:eastAsia="zh-CN"/>
        </w:rPr>
        <w:t>与</w:t>
      </w:r>
      <w:r>
        <w:rPr>
          <w:rFonts w:hint="eastAsia" w:ascii="宋体" w:hAnsi="宋体" w:cs="宋体"/>
        </w:rPr>
        <w:t>医院现有PACS系统</w:t>
      </w:r>
      <w:r>
        <w:rPr>
          <w:rFonts w:hint="eastAsia" w:ascii="宋体" w:hAnsi="宋体" w:cs="宋体"/>
          <w:lang w:eastAsia="zh-CN"/>
        </w:rPr>
        <w:t>完全兼容</w:t>
      </w:r>
      <w:r>
        <w:rPr>
          <w:rFonts w:hint="eastAsia" w:ascii="宋体" w:hAnsi="宋体" w:cs="宋体"/>
        </w:rPr>
        <w:t>，</w:t>
      </w:r>
      <w:r>
        <w:rPr>
          <w:rFonts w:hint="eastAsia" w:ascii="宋体" w:hAnsi="宋体" w:cs="宋体"/>
          <w:lang w:eastAsia="zh-CN"/>
        </w:rPr>
        <w:t>整体架构、</w:t>
      </w:r>
      <w:bookmarkStart w:id="1" w:name="_GoBack"/>
      <w:bookmarkEnd w:id="1"/>
      <w:r>
        <w:rPr>
          <w:rFonts w:hint="eastAsia" w:ascii="宋体" w:hAnsi="宋体" w:cs="宋体"/>
          <w:lang w:eastAsia="zh-CN"/>
        </w:rPr>
        <w:t>操作流程应与我院现有</w:t>
      </w:r>
      <w:r>
        <w:rPr>
          <w:rFonts w:hint="eastAsia" w:ascii="宋体" w:hAnsi="宋体" w:cs="宋体"/>
          <w:lang w:val="en-US" w:eastAsia="zh-CN"/>
        </w:rPr>
        <w:t>PACS系统保持一致。</w:t>
      </w:r>
    </w:p>
    <w:p>
      <w:pPr>
        <w:spacing w:line="360" w:lineRule="auto"/>
        <w:rPr>
          <w:rFonts w:hint="eastAsia" w:ascii="宋体" w:hAnsi="宋体" w:cs="宋体"/>
          <w:szCs w:val="24"/>
          <w:lang w:eastAsia="zh-CN"/>
        </w:rPr>
      </w:pPr>
      <w:r>
        <w:rPr>
          <w:rFonts w:hint="eastAsia" w:ascii="宋体" w:hAnsi="宋体" w:cs="宋体"/>
          <w:szCs w:val="24"/>
          <w:lang w:eastAsia="zh-CN"/>
        </w:rPr>
        <w:t>（</w:t>
      </w:r>
      <w:r>
        <w:rPr>
          <w:rFonts w:hint="eastAsia" w:ascii="宋体" w:hAnsi="宋体" w:cs="宋体"/>
          <w:szCs w:val="24"/>
          <w:lang w:val="en-US" w:eastAsia="zh-CN"/>
        </w:rPr>
        <w:t>2</w:t>
      </w:r>
      <w:r>
        <w:rPr>
          <w:rFonts w:hint="eastAsia" w:ascii="宋体" w:hAnsi="宋体" w:cs="宋体"/>
          <w:szCs w:val="24"/>
          <w:lang w:eastAsia="zh-CN"/>
        </w:rPr>
        <w:t>）本次系统升级应符合网络安全等级保护管理建设规范，并达到网络安全等级保护的三级相关信息系统的要求。</w:t>
      </w:r>
    </w:p>
    <w:p>
      <w:pPr>
        <w:spacing w:line="360" w:lineRule="auto"/>
        <w:rPr>
          <w:rFonts w:hint="default" w:ascii="宋体" w:hAnsi="宋体" w:cs="宋体"/>
          <w:szCs w:val="24"/>
          <w:lang w:val="en-US" w:eastAsia="zh-CN"/>
        </w:rPr>
      </w:pPr>
      <w:r>
        <w:rPr>
          <w:rFonts w:hint="eastAsia" w:ascii="宋体" w:hAnsi="宋体" w:cs="宋体"/>
          <w:szCs w:val="24"/>
          <w:lang w:eastAsia="zh-CN"/>
        </w:rPr>
        <w:t>（</w:t>
      </w:r>
      <w:r>
        <w:rPr>
          <w:rFonts w:hint="eastAsia" w:ascii="宋体" w:hAnsi="宋体" w:cs="宋体"/>
          <w:szCs w:val="24"/>
          <w:lang w:val="en-US" w:eastAsia="zh-CN"/>
        </w:rPr>
        <w:t>3</w:t>
      </w:r>
      <w:r>
        <w:rPr>
          <w:rFonts w:hint="eastAsia" w:ascii="宋体" w:hAnsi="宋体" w:cs="宋体"/>
          <w:szCs w:val="24"/>
          <w:lang w:eastAsia="zh-CN"/>
        </w:rPr>
        <w:t>）本次</w:t>
      </w:r>
      <w:r>
        <w:rPr>
          <w:rFonts w:hint="eastAsia" w:ascii="宋体" w:hAnsi="宋体" w:cs="宋体"/>
          <w:szCs w:val="24"/>
          <w:lang w:val="en-US" w:eastAsia="zh-CN"/>
        </w:rPr>
        <w:t>PACS系统升级应支持与我院现有HIS、EMR、体检等系统无缝对接，并预留与集成平台、区域影像平台等对接需求。</w:t>
      </w:r>
    </w:p>
    <w:p>
      <w:pPr>
        <w:spacing w:line="360" w:lineRule="auto"/>
        <w:rPr>
          <w:rFonts w:hint="eastAsia" w:ascii="宋体" w:hAnsi="宋体" w:cs="宋体"/>
          <w:szCs w:val="24"/>
        </w:rPr>
      </w:pPr>
      <w:r>
        <w:rPr>
          <w:rFonts w:hint="eastAsia" w:ascii="宋体" w:hAnsi="宋体" w:cs="宋体"/>
          <w:szCs w:val="24"/>
          <w:lang w:eastAsia="zh-CN"/>
        </w:rPr>
        <w:t>（</w:t>
      </w:r>
      <w:r>
        <w:rPr>
          <w:rFonts w:hint="eastAsia" w:ascii="宋体" w:hAnsi="宋体" w:cs="宋体"/>
          <w:szCs w:val="24"/>
          <w:lang w:val="en-US" w:eastAsia="zh-CN"/>
        </w:rPr>
        <w:t>4</w:t>
      </w:r>
      <w:r>
        <w:rPr>
          <w:rFonts w:hint="eastAsia" w:ascii="宋体" w:hAnsi="宋体" w:cs="宋体"/>
          <w:szCs w:val="24"/>
          <w:lang w:eastAsia="zh-CN"/>
        </w:rPr>
        <w:t>）</w:t>
      </w:r>
      <w:r>
        <w:rPr>
          <w:rFonts w:ascii="宋体" w:hAnsi="宋体" w:cs="宋体"/>
          <w:szCs w:val="24"/>
        </w:rPr>
        <w:t>投标人</w:t>
      </w:r>
      <w:r>
        <w:rPr>
          <w:rFonts w:hint="eastAsia" w:ascii="宋体" w:hAnsi="宋体" w:cs="宋体"/>
          <w:szCs w:val="24"/>
        </w:rPr>
        <w:t>提供</w:t>
      </w:r>
      <w:r>
        <w:rPr>
          <w:rFonts w:ascii="宋体" w:hAnsi="宋体" w:cs="宋体"/>
          <w:szCs w:val="24"/>
        </w:rPr>
        <w:t>PACS</w:t>
      </w:r>
      <w:r>
        <w:rPr>
          <w:rFonts w:hint="eastAsia" w:ascii="宋体" w:hAnsi="宋体" w:cs="宋体"/>
          <w:szCs w:val="24"/>
        </w:rPr>
        <w:t>软件</w:t>
      </w:r>
      <w:r>
        <w:rPr>
          <w:rFonts w:ascii="宋体" w:hAnsi="宋体" w:cs="宋体"/>
          <w:szCs w:val="24"/>
        </w:rPr>
        <w:t>或医学影像归档与通信系统</w:t>
      </w:r>
      <w:r>
        <w:rPr>
          <w:rFonts w:ascii="宋体" w:hAnsi="宋体"/>
        </w:rPr>
        <w:t>相关的</w:t>
      </w:r>
      <w:r>
        <w:rPr>
          <w:rFonts w:hint="eastAsia" w:ascii="宋体" w:hAnsi="宋体" w:cs="宋体"/>
          <w:szCs w:val="24"/>
        </w:rPr>
        <w:t>计算机软件著作权登记证复印件</w:t>
      </w:r>
      <w:r>
        <w:rPr>
          <w:rFonts w:ascii="宋体" w:hAnsi="宋体"/>
        </w:rPr>
        <w:t>加盖公章</w:t>
      </w:r>
      <w:r>
        <w:rPr>
          <w:rFonts w:hint="eastAsia" w:ascii="宋体" w:hAnsi="宋体" w:cs="宋体"/>
          <w:szCs w:val="24"/>
        </w:rPr>
        <w:t>。</w:t>
      </w:r>
    </w:p>
    <w:p>
      <w:pPr>
        <w:numPr>
          <w:ilvl w:val="0"/>
          <w:numId w:val="0"/>
        </w:numPr>
        <w:spacing w:line="360" w:lineRule="auto"/>
        <w:rPr>
          <w:rFonts w:hint="eastAsia" w:ascii="宋体" w:hAnsi="宋体"/>
          <w:b/>
          <w:sz w:val="24"/>
          <w:szCs w:val="24"/>
          <w:lang w:val="en-US" w:eastAsia="zh-CN"/>
        </w:rPr>
      </w:pPr>
      <w:r>
        <w:rPr>
          <w:rFonts w:hint="eastAsia" w:ascii="宋体" w:hAnsi="宋体"/>
          <w:b/>
          <w:sz w:val="24"/>
          <w:szCs w:val="24"/>
          <w:lang w:val="en-US" w:eastAsia="zh-CN"/>
        </w:rPr>
        <w:t>2、功能参数</w:t>
      </w:r>
    </w:p>
    <w:p>
      <w:pPr>
        <w:numPr>
          <w:ilvl w:val="0"/>
          <w:numId w:val="0"/>
        </w:numPr>
        <w:spacing w:line="360" w:lineRule="auto"/>
        <w:rPr>
          <w:rFonts w:hint="eastAsia" w:ascii="宋体" w:hAnsi="宋体"/>
          <w:b/>
          <w:sz w:val="24"/>
          <w:szCs w:val="24"/>
          <w:lang w:val="en-US" w:eastAsia="zh-CN"/>
        </w:rPr>
      </w:pPr>
      <w:r>
        <w:rPr>
          <w:rFonts w:hint="eastAsia" w:ascii="宋体" w:hAnsi="宋体"/>
          <w:b/>
          <w:sz w:val="24"/>
          <w:szCs w:val="24"/>
          <w:lang w:val="en-US" w:eastAsia="zh-CN"/>
        </w:rPr>
        <w:t>（1）PACS系统科室管理软件</w:t>
      </w:r>
    </w:p>
    <w:p>
      <w:pPr>
        <w:numPr>
          <w:ilvl w:val="0"/>
          <w:numId w:val="1"/>
        </w:numPr>
        <w:spacing w:line="360" w:lineRule="auto"/>
        <w:ind w:left="420" w:leftChars="0" w:hanging="420" w:firstLineChars="0"/>
        <w:rPr>
          <w:rFonts w:ascii="宋体" w:hAnsi="宋体" w:cs="宋体"/>
          <w:szCs w:val="21"/>
        </w:rPr>
      </w:pPr>
      <w:r>
        <w:rPr>
          <w:rFonts w:ascii="宋体" w:hAnsi="宋体" w:cs="宋体"/>
          <w:szCs w:val="21"/>
        </w:rPr>
        <w:t>支持报告</w:t>
      </w:r>
      <w:r>
        <w:rPr>
          <w:rFonts w:hint="eastAsia" w:ascii="宋体" w:hAnsi="宋体" w:cs="宋体"/>
          <w:szCs w:val="21"/>
          <w:lang w:val="en-US" w:eastAsia="zh-CN"/>
        </w:rPr>
        <w:t>自定义</w:t>
      </w:r>
      <w:r>
        <w:rPr>
          <w:rFonts w:ascii="宋体" w:hAnsi="宋体" w:cs="宋体"/>
          <w:szCs w:val="21"/>
        </w:rPr>
        <w:t>分组、排班、自动分发管理；</w:t>
      </w:r>
    </w:p>
    <w:p>
      <w:pPr>
        <w:numPr>
          <w:ilvl w:val="0"/>
          <w:numId w:val="1"/>
        </w:numPr>
        <w:spacing w:line="360" w:lineRule="auto"/>
        <w:ind w:left="420" w:leftChars="0" w:hanging="420" w:firstLineChars="0"/>
        <w:rPr>
          <w:rFonts w:ascii="宋体" w:hAnsi="宋体" w:cs="宋体"/>
          <w:szCs w:val="21"/>
        </w:rPr>
      </w:pPr>
      <w:r>
        <w:rPr>
          <w:rFonts w:ascii="宋体" w:hAnsi="宋体" w:cs="宋体"/>
          <w:szCs w:val="21"/>
        </w:rPr>
        <w:t>支持报告冲突提醒功能；</w:t>
      </w:r>
    </w:p>
    <w:p>
      <w:pPr>
        <w:numPr>
          <w:ilvl w:val="0"/>
          <w:numId w:val="1"/>
        </w:numPr>
        <w:spacing w:line="360" w:lineRule="auto"/>
        <w:ind w:left="420" w:leftChars="0" w:hanging="420" w:firstLineChars="0"/>
        <w:rPr>
          <w:rFonts w:ascii="宋体" w:hAnsi="宋体" w:cs="宋体"/>
          <w:szCs w:val="21"/>
        </w:rPr>
      </w:pPr>
      <w:r>
        <w:rPr>
          <w:rFonts w:ascii="宋体" w:hAnsi="宋体" w:cs="宋体"/>
          <w:szCs w:val="21"/>
        </w:rPr>
        <w:t>支持报告书写测量值自动判断；</w:t>
      </w:r>
    </w:p>
    <w:p>
      <w:pPr>
        <w:numPr>
          <w:ilvl w:val="0"/>
          <w:numId w:val="1"/>
        </w:numPr>
        <w:spacing w:line="360" w:lineRule="auto"/>
        <w:ind w:left="420" w:leftChars="0" w:hanging="420" w:firstLineChars="0"/>
        <w:rPr>
          <w:rFonts w:ascii="宋体" w:hAnsi="宋体" w:cs="宋体"/>
          <w:szCs w:val="21"/>
        </w:rPr>
      </w:pPr>
      <w:r>
        <w:rPr>
          <w:rFonts w:ascii="宋体" w:hAnsi="宋体" w:cs="宋体"/>
          <w:szCs w:val="21"/>
        </w:rPr>
        <w:t>支持CA电子Ukey对接；</w:t>
      </w:r>
    </w:p>
    <w:p>
      <w:pPr>
        <w:numPr>
          <w:ilvl w:val="0"/>
          <w:numId w:val="1"/>
        </w:numPr>
        <w:spacing w:line="360" w:lineRule="auto"/>
        <w:ind w:left="420" w:leftChars="0" w:hanging="420" w:firstLineChars="0"/>
        <w:rPr>
          <w:rFonts w:ascii="宋体" w:hAnsi="宋体" w:cs="宋体"/>
          <w:b w:val="0"/>
          <w:bCs w:val="0"/>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支持检查危急值预警功能，</w:t>
      </w:r>
      <w:r>
        <w:rPr>
          <w:rFonts w:hint="eastAsia" w:ascii="宋体" w:hAnsi="宋体" w:cs="宋体"/>
          <w:color w:val="000000" w:themeColor="text1"/>
          <w:szCs w:val="21"/>
          <w14:textFill>
            <w14:solidFill>
              <w14:schemeClr w14:val="tx1"/>
            </w14:solidFill>
          </w14:textFill>
        </w:rPr>
        <w:t>可设置危急值参数，</w:t>
      </w:r>
      <w:r>
        <w:rPr>
          <w:rFonts w:ascii="宋体" w:hAnsi="宋体" w:cs="宋体"/>
          <w:color w:val="000000" w:themeColor="text1"/>
          <w:szCs w:val="21"/>
          <w14:textFill>
            <w14:solidFill>
              <w14:schemeClr w14:val="tx1"/>
            </w14:solidFill>
          </w14:textFill>
        </w:rPr>
        <w:t>用自然语言自动提醒</w:t>
      </w:r>
      <w:r>
        <w:rPr>
          <w:rFonts w:ascii="宋体" w:hAnsi="宋体" w:cs="宋体"/>
          <w:b w:val="0"/>
          <w:bCs w:val="0"/>
          <w:color w:val="000000" w:themeColor="text1"/>
          <w:szCs w:val="21"/>
          <w14:textFill>
            <w14:solidFill>
              <w14:schemeClr w14:val="tx1"/>
            </w14:solidFill>
          </w14:textFill>
        </w:rPr>
        <w:t>（</w:t>
      </w:r>
      <w:r>
        <w:rPr>
          <w:rFonts w:ascii="宋体" w:hAnsi="宋体"/>
          <w:b w:val="0"/>
          <w:bCs w:val="0"/>
          <w:color w:val="000000" w:themeColor="text1"/>
          <w14:textFill>
            <w14:solidFill>
              <w14:schemeClr w14:val="tx1"/>
            </w14:solidFill>
          </w14:textFill>
        </w:rPr>
        <w:t>提供危急值预警相关的</w:t>
      </w:r>
      <w:r>
        <w:rPr>
          <w:rFonts w:hint="eastAsia" w:ascii="宋体" w:hAnsi="宋体"/>
          <w:b w:val="0"/>
          <w:bCs w:val="0"/>
          <w:color w:val="000000" w:themeColor="text1"/>
          <w:lang w:eastAsia="zh-CN"/>
          <w14:textFill>
            <w14:solidFill>
              <w14:schemeClr w14:val="tx1"/>
            </w14:solidFill>
          </w14:textFill>
        </w:rPr>
        <w:t>系统功能截图</w:t>
      </w:r>
      <w:r>
        <w:rPr>
          <w:rFonts w:ascii="宋体" w:hAnsi="宋体" w:cs="宋体"/>
          <w:b w:val="0"/>
          <w:bCs w:val="0"/>
          <w:color w:val="000000" w:themeColor="text1"/>
          <w:szCs w:val="21"/>
          <w14:textFill>
            <w14:solidFill>
              <w14:schemeClr w14:val="tx1"/>
            </w14:solidFill>
          </w14:textFill>
        </w:rPr>
        <w:t>）；</w:t>
      </w:r>
    </w:p>
    <w:p>
      <w:pPr>
        <w:numPr>
          <w:ilvl w:val="0"/>
          <w:numId w:val="1"/>
        </w:numPr>
        <w:spacing w:line="360" w:lineRule="auto"/>
        <w:ind w:left="420" w:leftChars="0" w:hanging="420" w:firstLineChars="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支持检查危急值全流程闭环，</w:t>
      </w:r>
      <w:r>
        <w:rPr>
          <w:rFonts w:hint="eastAsia" w:ascii="宋体" w:hAnsi="宋体" w:cs="宋体"/>
          <w:color w:val="000000" w:themeColor="text1"/>
          <w:szCs w:val="21"/>
          <w14:textFill>
            <w14:solidFill>
              <w14:schemeClr w14:val="tx1"/>
            </w14:solidFill>
          </w14:textFill>
        </w:rPr>
        <w:t>支持危急值报告编辑、打印，支持与HIS、危急值管理系统接口，将相关信息提示到临床工作站（提供危急值设置和危急值报告</w:t>
      </w:r>
      <w:r>
        <w:rPr>
          <w:rFonts w:hint="eastAsia" w:ascii="宋体" w:hAnsi="宋体" w:cs="宋体"/>
          <w:color w:val="000000" w:themeColor="text1"/>
          <w:szCs w:val="21"/>
          <w:lang w:eastAsia="zh-CN"/>
          <w14:textFill>
            <w14:solidFill>
              <w14:schemeClr w14:val="tx1"/>
            </w14:solidFill>
          </w14:textFill>
        </w:rPr>
        <w:t>系统功能</w:t>
      </w:r>
      <w:r>
        <w:rPr>
          <w:rFonts w:hint="eastAsia" w:ascii="宋体" w:hAnsi="宋体" w:cs="宋体"/>
          <w:color w:val="000000" w:themeColor="text1"/>
          <w:szCs w:val="21"/>
          <w14:textFill>
            <w14:solidFill>
              <w14:schemeClr w14:val="tx1"/>
            </w14:solidFill>
          </w14:textFill>
        </w:rPr>
        <w:t>截图）</w:t>
      </w:r>
      <w:r>
        <w:rPr>
          <w:rFonts w:ascii="宋体" w:hAnsi="宋体" w:cs="宋体"/>
          <w:color w:val="000000" w:themeColor="text1"/>
          <w:szCs w:val="21"/>
          <w14:textFill>
            <w14:solidFill>
              <w14:schemeClr w14:val="tx1"/>
            </w14:solidFill>
          </w14:textFill>
        </w:rPr>
        <w:t>；</w:t>
      </w:r>
    </w:p>
    <w:p>
      <w:pPr>
        <w:numPr>
          <w:ilvl w:val="0"/>
          <w:numId w:val="1"/>
        </w:numPr>
        <w:spacing w:line="360" w:lineRule="auto"/>
        <w:ind w:left="420" w:leftChars="0" w:hanging="420" w:firstLineChars="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支持</w:t>
      </w:r>
      <w:r>
        <w:rPr>
          <w:rFonts w:hint="eastAsia" w:ascii="宋体" w:hAnsi="宋体" w:cs="宋体"/>
          <w:color w:val="000000" w:themeColor="text1"/>
          <w:szCs w:val="21"/>
          <w14:textFill>
            <w14:solidFill>
              <w14:schemeClr w14:val="tx1"/>
            </w14:solidFill>
          </w14:textFill>
        </w:rPr>
        <w:t>影像质控管理，对图像、报告质量进行评价，可设置详细的评价指标，对报告评价内容权重占比设置；设定报告评价时限，每时间段内评价的报告数量不能超过设定值，以保证评价质量；支持评价内容记录查询，可进行同比、环比等统计图形展示</w:t>
      </w:r>
      <w:r>
        <w:rPr>
          <w:rFonts w:ascii="宋体" w:hAnsi="宋体" w:cs="宋体"/>
          <w:color w:val="000000" w:themeColor="text1"/>
          <w:szCs w:val="21"/>
          <w14:textFill>
            <w14:solidFill>
              <w14:schemeClr w14:val="tx1"/>
            </w14:solidFill>
          </w14:textFill>
        </w:rPr>
        <w:t>（</w:t>
      </w:r>
      <w:r>
        <w:rPr>
          <w:rFonts w:ascii="宋体" w:hAnsi="宋体"/>
          <w:color w:val="000000" w:themeColor="text1"/>
          <w14:textFill>
            <w14:solidFill>
              <w14:schemeClr w14:val="tx1"/>
            </w14:solidFill>
          </w14:textFill>
        </w:rPr>
        <w:t>提供影像质控</w:t>
      </w:r>
      <w:r>
        <w:rPr>
          <w:rFonts w:hint="eastAsia" w:ascii="宋体" w:hAnsi="宋体"/>
          <w:color w:val="000000" w:themeColor="text1"/>
          <w:lang w:eastAsia="zh-CN"/>
          <w14:textFill>
            <w14:solidFill>
              <w14:schemeClr w14:val="tx1"/>
            </w14:solidFill>
          </w14:textFill>
        </w:rPr>
        <w:t>功能相关系统功能截图</w:t>
      </w:r>
      <w:r>
        <w:rPr>
          <w:rFonts w:ascii="宋体" w:hAnsi="宋体" w:cs="宋体"/>
          <w:color w:val="000000" w:themeColor="text1"/>
          <w:szCs w:val="21"/>
          <w14:textFill>
            <w14:solidFill>
              <w14:schemeClr w14:val="tx1"/>
            </w14:solidFill>
          </w14:textFill>
        </w:rPr>
        <w:t>）；</w:t>
      </w:r>
    </w:p>
    <w:p>
      <w:pPr>
        <w:numPr>
          <w:ilvl w:val="0"/>
          <w:numId w:val="1"/>
        </w:numPr>
        <w:spacing w:line="360" w:lineRule="auto"/>
        <w:ind w:left="420" w:leftChars="0" w:hanging="420" w:firstLineChars="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支持MPR、mIP、MIP等影像三维重建高级图像处理功能（</w:t>
      </w:r>
      <w:r>
        <w:rPr>
          <w:rFonts w:ascii="宋体" w:hAnsi="宋体"/>
          <w:color w:val="000000" w:themeColor="text1"/>
          <w14:textFill>
            <w14:solidFill>
              <w14:schemeClr w14:val="tx1"/>
            </w14:solidFill>
          </w14:textFill>
        </w:rPr>
        <w:t>提供</w:t>
      </w:r>
      <w:r>
        <w:rPr>
          <w:rFonts w:ascii="宋体" w:hAnsi="宋体" w:cs="宋体"/>
          <w:color w:val="000000" w:themeColor="text1"/>
          <w:szCs w:val="21"/>
          <w14:textFill>
            <w14:solidFill>
              <w14:schemeClr w14:val="tx1"/>
            </w14:solidFill>
          </w14:textFill>
        </w:rPr>
        <w:t>影像三维重建</w:t>
      </w:r>
      <w:r>
        <w:rPr>
          <w:rFonts w:ascii="宋体" w:hAnsi="宋体"/>
          <w:color w:val="000000" w:themeColor="text1"/>
          <w14:textFill>
            <w14:solidFill>
              <w14:schemeClr w14:val="tx1"/>
            </w14:solidFill>
          </w14:textFill>
        </w:rPr>
        <w:t>相关的</w:t>
      </w:r>
      <w:r>
        <w:rPr>
          <w:rFonts w:hint="eastAsia" w:ascii="宋体" w:hAnsi="宋体"/>
          <w:color w:val="000000" w:themeColor="text1"/>
          <w:lang w:eastAsia="zh-CN"/>
          <w14:textFill>
            <w14:solidFill>
              <w14:schemeClr w14:val="tx1"/>
            </w14:solidFill>
          </w14:textFill>
        </w:rPr>
        <w:t>系统功能截图</w:t>
      </w:r>
      <w:r>
        <w:rPr>
          <w:rFonts w:ascii="宋体" w:hAnsi="宋体" w:cs="宋体"/>
          <w:color w:val="000000" w:themeColor="text1"/>
          <w:szCs w:val="21"/>
          <w14:textFill>
            <w14:solidFill>
              <w14:schemeClr w14:val="tx1"/>
            </w14:solidFill>
          </w14:textFill>
        </w:rPr>
        <w:t>）；</w:t>
      </w:r>
    </w:p>
    <w:p>
      <w:pPr>
        <w:numPr>
          <w:ilvl w:val="0"/>
          <w:numId w:val="1"/>
        </w:numPr>
        <w:spacing w:line="360" w:lineRule="auto"/>
        <w:ind w:left="420" w:leftChars="0" w:hanging="420" w:firstLineChars="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支持图像快速翻页功能，提供看图进度条；</w:t>
      </w:r>
    </w:p>
    <w:p>
      <w:pPr>
        <w:numPr>
          <w:ilvl w:val="0"/>
          <w:numId w:val="1"/>
        </w:numPr>
        <w:spacing w:line="360" w:lineRule="auto"/>
        <w:ind w:left="420" w:leftChars="0" w:hanging="420" w:firstLineChars="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支持不同面多序列的自动联动翻页；</w:t>
      </w:r>
    </w:p>
    <w:p>
      <w:pPr>
        <w:numPr>
          <w:ilvl w:val="0"/>
          <w:numId w:val="1"/>
        </w:numPr>
        <w:spacing w:line="360" w:lineRule="auto"/>
        <w:ind w:left="420" w:leftChars="0" w:hanging="420" w:firstLineChars="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支持图像一键定位功能；</w:t>
      </w:r>
    </w:p>
    <w:p>
      <w:pPr>
        <w:numPr>
          <w:ilvl w:val="0"/>
          <w:numId w:val="1"/>
        </w:numPr>
        <w:spacing w:line="360" w:lineRule="auto"/>
        <w:ind w:left="420" w:leftChars="0" w:hanging="420" w:firstLineChars="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支持随访病例智能提醒功能；</w:t>
      </w:r>
    </w:p>
    <w:p>
      <w:pPr>
        <w:numPr>
          <w:ilvl w:val="0"/>
          <w:numId w:val="1"/>
        </w:numPr>
        <w:spacing w:line="360" w:lineRule="auto"/>
        <w:ind w:left="420" w:leftChars="0" w:hanging="420" w:firstLineChars="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支持患者临床信息</w:t>
      </w:r>
      <w:r>
        <w:rPr>
          <w:rFonts w:hint="eastAsia" w:ascii="宋体" w:hAnsi="宋体" w:cs="宋体"/>
          <w:color w:val="000000" w:themeColor="text1"/>
          <w:szCs w:val="21"/>
          <w14:textFill>
            <w14:solidFill>
              <w14:schemeClr w14:val="tx1"/>
            </w14:solidFill>
          </w14:textFill>
        </w:rPr>
        <w:t>引用，包括电子病历、医嘱、检验、其他检查等，支持获取患者的术后诊断、出院诊断等临床信息，并进行记录，以便科室医生做随访调研。</w:t>
      </w:r>
    </w:p>
    <w:p>
      <w:pPr>
        <w:numPr>
          <w:ilvl w:val="0"/>
          <w:numId w:val="1"/>
        </w:numPr>
        <w:spacing w:line="360" w:lineRule="auto"/>
        <w:ind w:left="420" w:leftChars="0" w:hanging="420" w:firstLineChars="0"/>
        <w:rPr>
          <w:rFonts w:hint="eastAsia"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支持按部位系数统计功能；</w:t>
      </w:r>
    </w:p>
    <w:p>
      <w:pPr>
        <w:numPr>
          <w:ilvl w:val="0"/>
          <w:numId w:val="1"/>
        </w:numPr>
        <w:spacing w:line="360" w:lineRule="auto"/>
        <w:ind w:left="420" w:leftChars="0" w:hanging="420" w:firstLineChars="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支持对科室影像设备进行数字化管理，包括设备总汇、故障保修、维修记录、保养记录、检测记录、设备报表、设备使用记录、重要提醒等</w:t>
      </w:r>
      <w:r>
        <w:rPr>
          <w:rFonts w:ascii="宋体" w:hAnsi="宋体" w:cs="宋体"/>
          <w:color w:val="000000" w:themeColor="text1"/>
          <w:szCs w:val="21"/>
          <w14:textFill>
            <w14:solidFill>
              <w14:schemeClr w14:val="tx1"/>
            </w14:solidFill>
          </w14:textFill>
        </w:rPr>
        <w:t>（</w:t>
      </w:r>
      <w:r>
        <w:rPr>
          <w:rFonts w:ascii="宋体" w:hAnsi="宋体"/>
          <w:color w:val="000000" w:themeColor="text1"/>
          <w14:textFill>
            <w14:solidFill>
              <w14:schemeClr w14:val="tx1"/>
            </w14:solidFill>
          </w14:textFill>
        </w:rPr>
        <w:t>提供影像设备管理相关的</w:t>
      </w:r>
      <w:r>
        <w:rPr>
          <w:rFonts w:hint="eastAsia" w:ascii="宋体" w:hAnsi="宋体"/>
          <w:color w:val="000000" w:themeColor="text1"/>
          <w:lang w:eastAsia="zh-CN"/>
          <w14:textFill>
            <w14:solidFill>
              <w14:schemeClr w14:val="tx1"/>
            </w14:solidFill>
          </w14:textFill>
        </w:rPr>
        <w:t>系统功能截图</w:t>
      </w:r>
      <w:r>
        <w:rPr>
          <w:rFonts w:ascii="宋体" w:hAnsi="宋体" w:cs="宋体"/>
          <w:color w:val="000000" w:themeColor="text1"/>
          <w:szCs w:val="21"/>
          <w14:textFill>
            <w14:solidFill>
              <w14:schemeClr w14:val="tx1"/>
            </w14:solidFill>
          </w14:textFill>
        </w:rPr>
        <w:t>）。</w:t>
      </w:r>
    </w:p>
    <w:p>
      <w:pPr>
        <w:spacing w:line="360" w:lineRule="auto"/>
        <w:rPr>
          <w:rFonts w:hint="eastAsia" w:ascii="宋体" w:hAnsi="宋体" w:cs="宋体"/>
          <w:szCs w:val="21"/>
        </w:rPr>
      </w:pPr>
    </w:p>
    <w:p>
      <w:pPr>
        <w:spacing w:line="360" w:lineRule="auto"/>
        <w:rPr>
          <w:rFonts w:hint="eastAsia" w:ascii="宋体" w:hAnsi="宋体"/>
          <w:b/>
          <w:sz w:val="24"/>
          <w:szCs w:val="24"/>
        </w:rPr>
      </w:pPr>
      <w:r>
        <w:rPr>
          <w:rFonts w:hint="eastAsia" w:ascii="宋体" w:hAnsi="宋体"/>
          <w:b/>
          <w:sz w:val="24"/>
          <w:szCs w:val="24"/>
          <w:lang w:val="en-US" w:eastAsia="zh-CN"/>
        </w:rPr>
        <w:t>（2）</w:t>
      </w:r>
      <w:r>
        <w:rPr>
          <w:rFonts w:hint="eastAsia" w:ascii="宋体" w:hAnsi="宋体"/>
          <w:b/>
          <w:sz w:val="24"/>
          <w:szCs w:val="24"/>
        </w:rPr>
        <w:t>临床医生查看影像报告和图像模块升级</w:t>
      </w:r>
    </w:p>
    <w:p>
      <w:pPr>
        <w:numPr>
          <w:ilvl w:val="0"/>
          <w:numId w:val="1"/>
        </w:numPr>
        <w:spacing w:line="360" w:lineRule="auto"/>
        <w:ind w:left="420" w:leftChars="0" w:hanging="420" w:firstLineChars="0"/>
        <w:rPr>
          <w:rFonts w:hint="eastAsia" w:ascii="宋体" w:hAnsi="宋体" w:eastAsia="宋体" w:cs="宋体"/>
          <w:szCs w:val="21"/>
          <w:lang w:eastAsia="zh-CN"/>
        </w:rPr>
      </w:pPr>
      <w:r>
        <w:rPr>
          <w:rFonts w:hint="eastAsia" w:ascii="宋体" w:hAnsi="宋体" w:cs="宋体"/>
          <w:szCs w:val="21"/>
          <w:lang w:eastAsia="zh-CN"/>
        </w:rPr>
        <w:t>系统需支持</w:t>
      </w:r>
      <w:r>
        <w:rPr>
          <w:rFonts w:hint="eastAsia" w:ascii="宋体" w:hAnsi="宋体" w:cs="宋体"/>
          <w:szCs w:val="21"/>
        </w:rPr>
        <w:t>BS架构基于WEB的临床影像报告和图像模块，和原有CS版本临床影像报告和图像模块并存；</w:t>
      </w:r>
      <w:r>
        <w:rPr>
          <w:rFonts w:hint="eastAsia" w:ascii="宋体" w:hAnsi="宋体" w:cs="宋体"/>
          <w:szCs w:val="21"/>
          <w:lang w:eastAsia="zh-CN"/>
        </w:rPr>
        <w:t>（</w:t>
      </w:r>
      <w:r>
        <w:rPr>
          <w:rFonts w:hint="eastAsia" w:ascii="宋体" w:hAnsi="宋体" w:cs="宋体"/>
          <w:szCs w:val="21"/>
          <w:lang w:val="en-US" w:eastAsia="zh-CN"/>
        </w:rPr>
        <w:t>停用风险端口如445，135等</w:t>
      </w:r>
      <w:r>
        <w:rPr>
          <w:rFonts w:hint="eastAsia" w:ascii="宋体" w:hAnsi="宋体" w:cs="宋体"/>
          <w:szCs w:val="21"/>
          <w:lang w:eastAsia="zh-CN"/>
        </w:rPr>
        <w:t>）</w:t>
      </w:r>
    </w:p>
    <w:p>
      <w:pPr>
        <w:numPr>
          <w:ilvl w:val="0"/>
          <w:numId w:val="1"/>
        </w:numPr>
        <w:spacing w:line="360" w:lineRule="auto"/>
        <w:ind w:left="420" w:leftChars="0" w:hanging="420" w:firstLineChars="0"/>
        <w:rPr>
          <w:rFonts w:hint="eastAsia" w:ascii="宋体" w:hAnsi="宋体" w:cs="宋体"/>
          <w:szCs w:val="21"/>
        </w:rPr>
      </w:pPr>
      <w:r>
        <w:rPr>
          <w:rFonts w:hint="eastAsia" w:ascii="宋体" w:hAnsi="宋体" w:cs="宋体"/>
          <w:szCs w:val="21"/>
        </w:rPr>
        <w:t>支持带参数的查看影像和报告URL地址，支持在电子病历的用户权限体系下查看影像和报告；</w:t>
      </w:r>
    </w:p>
    <w:p>
      <w:pPr>
        <w:numPr>
          <w:ilvl w:val="0"/>
          <w:numId w:val="1"/>
        </w:numPr>
        <w:spacing w:line="360" w:lineRule="auto"/>
        <w:ind w:left="420" w:leftChars="0" w:hanging="420" w:firstLineChars="0"/>
        <w:rPr>
          <w:rFonts w:hint="eastAsia" w:ascii="宋体" w:hAnsi="宋体" w:cs="宋体"/>
          <w:szCs w:val="21"/>
        </w:rPr>
      </w:pPr>
      <w:r>
        <w:rPr>
          <w:rFonts w:hint="eastAsia" w:ascii="宋体" w:hAnsi="宋体" w:cs="宋体"/>
          <w:szCs w:val="21"/>
        </w:rPr>
        <w:t>支持授权用户查询检索相关患者，支持授权患者多次检查列表；</w:t>
      </w:r>
    </w:p>
    <w:p>
      <w:pPr>
        <w:numPr>
          <w:ilvl w:val="0"/>
          <w:numId w:val="1"/>
        </w:numPr>
        <w:spacing w:line="360" w:lineRule="auto"/>
        <w:ind w:left="420" w:leftChars="0" w:hanging="420" w:firstLineChars="0"/>
        <w:rPr>
          <w:rFonts w:hint="eastAsia" w:ascii="宋体" w:hAnsi="宋体" w:cs="宋体"/>
          <w:szCs w:val="21"/>
        </w:rPr>
      </w:pPr>
      <w:r>
        <w:rPr>
          <w:rFonts w:hint="eastAsia" w:ascii="宋体" w:hAnsi="宋体" w:cs="宋体"/>
          <w:szCs w:val="21"/>
        </w:rPr>
        <w:t>支持调阅患者放射影像检查已发布的诊断报告；</w:t>
      </w:r>
    </w:p>
    <w:p>
      <w:pPr>
        <w:numPr>
          <w:ilvl w:val="0"/>
          <w:numId w:val="1"/>
        </w:numPr>
        <w:spacing w:line="360" w:lineRule="auto"/>
        <w:ind w:left="420" w:leftChars="0" w:hanging="420" w:firstLineChars="0"/>
        <w:rPr>
          <w:rFonts w:hint="eastAsia" w:ascii="宋体" w:hAnsi="宋体" w:cs="宋体"/>
          <w:szCs w:val="21"/>
        </w:rPr>
      </w:pPr>
      <w:r>
        <w:rPr>
          <w:rFonts w:hint="eastAsia" w:ascii="宋体" w:hAnsi="宋体" w:cs="宋体"/>
          <w:szCs w:val="21"/>
        </w:rPr>
        <w:t>遵循DICOM标准，支持CT、MR、CR、DR、DSA、数字乳腺、数字胃肠等DICOM影像显示；</w:t>
      </w:r>
    </w:p>
    <w:p>
      <w:pPr>
        <w:numPr>
          <w:ilvl w:val="0"/>
          <w:numId w:val="1"/>
        </w:numPr>
        <w:spacing w:line="360" w:lineRule="auto"/>
        <w:ind w:left="420" w:leftChars="0" w:hanging="420" w:firstLineChars="0"/>
        <w:rPr>
          <w:rFonts w:hint="eastAsia" w:ascii="宋体" w:hAnsi="宋体" w:cs="宋体"/>
          <w:szCs w:val="21"/>
        </w:rPr>
      </w:pPr>
      <w:r>
        <w:rPr>
          <w:rFonts w:hint="eastAsia" w:ascii="宋体" w:hAnsi="宋体" w:cs="宋体"/>
          <w:szCs w:val="21"/>
        </w:rPr>
        <w:t>支持DICOM影像布局显示、缩放、移动、序列播放等基本操作；</w:t>
      </w:r>
    </w:p>
    <w:p>
      <w:pPr>
        <w:numPr>
          <w:ilvl w:val="0"/>
          <w:numId w:val="1"/>
        </w:numPr>
        <w:spacing w:line="360" w:lineRule="auto"/>
        <w:ind w:left="420" w:leftChars="0" w:hanging="420" w:firstLineChars="0"/>
        <w:rPr>
          <w:rFonts w:hint="eastAsia" w:ascii="宋体" w:hAnsi="宋体" w:cs="宋体"/>
          <w:szCs w:val="21"/>
        </w:rPr>
      </w:pPr>
      <w:r>
        <w:rPr>
          <w:rFonts w:hint="eastAsia" w:ascii="宋体" w:hAnsi="宋体" w:cs="宋体"/>
          <w:szCs w:val="21"/>
        </w:rPr>
        <w:t>支持DICOM影像窗宽/窗位调节、图像对比、测量、标注等图像处理。</w:t>
      </w:r>
    </w:p>
    <w:p>
      <w:pPr>
        <w:spacing w:line="360" w:lineRule="auto"/>
        <w:ind w:left="600" w:hanging="525" w:hangingChars="250"/>
        <w:rPr>
          <w:rFonts w:hint="eastAsia" w:ascii="宋体" w:hAnsi="宋体" w:cs="宋体"/>
          <w:szCs w:val="21"/>
        </w:rPr>
      </w:pPr>
    </w:p>
    <w:p>
      <w:pPr>
        <w:spacing w:line="360" w:lineRule="auto"/>
        <w:rPr>
          <w:rFonts w:hint="eastAsia" w:ascii="宋体" w:hAnsi="宋体"/>
          <w:b/>
          <w:sz w:val="24"/>
          <w:szCs w:val="24"/>
        </w:rPr>
      </w:pPr>
      <w:r>
        <w:rPr>
          <w:rFonts w:hint="eastAsia" w:ascii="宋体" w:hAnsi="宋体"/>
          <w:b/>
          <w:sz w:val="24"/>
          <w:szCs w:val="24"/>
          <w:lang w:eastAsia="zh-CN"/>
        </w:rPr>
        <w:t>（</w:t>
      </w:r>
      <w:r>
        <w:rPr>
          <w:rFonts w:hint="eastAsia" w:ascii="宋体" w:hAnsi="宋体"/>
          <w:b/>
          <w:sz w:val="24"/>
          <w:szCs w:val="24"/>
          <w:lang w:val="en-US" w:eastAsia="zh-CN"/>
        </w:rPr>
        <w:t>3</w:t>
      </w:r>
      <w:r>
        <w:rPr>
          <w:rFonts w:hint="eastAsia" w:ascii="宋体" w:hAnsi="宋体"/>
          <w:b/>
          <w:sz w:val="24"/>
          <w:szCs w:val="24"/>
          <w:lang w:eastAsia="zh-CN"/>
        </w:rPr>
        <w:t>）</w:t>
      </w:r>
      <w:r>
        <w:rPr>
          <w:rFonts w:hint="eastAsia" w:ascii="宋体" w:hAnsi="宋体"/>
          <w:b/>
          <w:sz w:val="24"/>
          <w:szCs w:val="24"/>
        </w:rPr>
        <w:t xml:space="preserve"> PACS服务端软件升级</w:t>
      </w:r>
    </w:p>
    <w:p>
      <w:pPr>
        <w:numPr>
          <w:ilvl w:val="0"/>
          <w:numId w:val="1"/>
        </w:numPr>
        <w:spacing w:line="360" w:lineRule="auto"/>
        <w:ind w:left="420" w:leftChars="0" w:hanging="420" w:firstLineChars="0"/>
        <w:rPr>
          <w:rFonts w:hint="eastAsia" w:ascii="宋体" w:hAnsi="宋体" w:cs="宋体"/>
          <w:szCs w:val="21"/>
        </w:rPr>
      </w:pPr>
      <w:r>
        <w:rPr>
          <w:rFonts w:hint="eastAsia" w:ascii="宋体" w:hAnsi="宋体" w:cs="宋体"/>
          <w:szCs w:val="21"/>
        </w:rPr>
        <w:t>支持PACS、RIS同一数据库管理，支持关系型数据库，支持双机热备、数据库镜像等安全备份模式；</w:t>
      </w:r>
    </w:p>
    <w:p>
      <w:pPr>
        <w:numPr>
          <w:ilvl w:val="0"/>
          <w:numId w:val="1"/>
        </w:numPr>
        <w:spacing w:line="360" w:lineRule="auto"/>
        <w:ind w:left="420" w:leftChars="0" w:hanging="420" w:firstLineChars="0"/>
        <w:rPr>
          <w:rFonts w:hint="eastAsia" w:ascii="宋体" w:hAnsi="宋体" w:cs="宋体"/>
          <w:szCs w:val="21"/>
        </w:rPr>
      </w:pPr>
      <w:r>
        <w:rPr>
          <w:rFonts w:hint="eastAsia" w:ascii="宋体" w:hAnsi="宋体" w:cs="宋体"/>
          <w:szCs w:val="21"/>
        </w:rPr>
        <w:t>支持患者全部影像数据统一存储，建立医学影像数据中心，集中存储和管理DICOM影像数据，医学影像类数据与非影像类数据共同使用患者唯一索引；</w:t>
      </w:r>
    </w:p>
    <w:p>
      <w:pPr>
        <w:numPr>
          <w:ilvl w:val="0"/>
          <w:numId w:val="1"/>
        </w:numPr>
        <w:spacing w:line="360" w:lineRule="auto"/>
        <w:ind w:left="420" w:leftChars="0" w:hanging="420" w:firstLineChars="0"/>
        <w:rPr>
          <w:rFonts w:hint="eastAsia" w:ascii="宋体" w:hAnsi="宋体" w:cs="宋体"/>
          <w:szCs w:val="21"/>
        </w:rPr>
      </w:pPr>
      <w:r>
        <w:rPr>
          <w:rFonts w:hint="eastAsia" w:ascii="宋体" w:hAnsi="宋体" w:cs="宋体"/>
          <w:szCs w:val="21"/>
        </w:rPr>
        <w:t>支持医学影像文件以DICOM文件格式存储，支持患者ID交叉索引和跨机构文档共享服务为基础跨系统跨平台的患者影像数据的整合和共享，提高调图速度；</w:t>
      </w:r>
    </w:p>
    <w:p>
      <w:pPr>
        <w:numPr>
          <w:ilvl w:val="0"/>
          <w:numId w:val="1"/>
        </w:numPr>
        <w:spacing w:line="360" w:lineRule="auto"/>
        <w:ind w:left="420" w:leftChars="0" w:hanging="420" w:firstLineChars="0"/>
        <w:rPr>
          <w:rFonts w:hint="eastAsia" w:ascii="宋体" w:hAnsi="宋体" w:cs="宋体"/>
          <w:szCs w:val="21"/>
        </w:rPr>
      </w:pPr>
      <w:r>
        <w:rPr>
          <w:rFonts w:hint="eastAsia" w:ascii="宋体" w:hAnsi="宋体" w:cs="宋体"/>
          <w:szCs w:val="21"/>
        </w:rPr>
        <w:t>关闭44</w:t>
      </w:r>
      <w:r>
        <w:rPr>
          <w:rFonts w:hint="eastAsia" w:ascii="宋体" w:hAnsi="宋体" w:cs="宋体"/>
          <w:szCs w:val="21"/>
          <w:lang w:val="en-US" w:eastAsia="zh-CN"/>
        </w:rPr>
        <w:t>5</w:t>
      </w:r>
      <w:r>
        <w:rPr>
          <w:rFonts w:hint="eastAsia" w:ascii="宋体" w:hAnsi="宋体" w:cs="宋体"/>
          <w:szCs w:val="21"/>
        </w:rPr>
        <w:t>端口，采用FTP、HTTP等协议</w:t>
      </w:r>
      <w:r>
        <w:rPr>
          <w:rFonts w:hint="eastAsia" w:ascii="宋体" w:hAnsi="宋体" w:cs="宋体"/>
          <w:szCs w:val="21"/>
          <w:lang w:eastAsia="zh-CN"/>
        </w:rPr>
        <w:t>访问</w:t>
      </w:r>
      <w:r>
        <w:rPr>
          <w:rFonts w:hint="eastAsia" w:ascii="宋体" w:hAnsi="宋体" w:cs="宋体"/>
          <w:szCs w:val="21"/>
        </w:rPr>
        <w:t>。</w:t>
      </w:r>
    </w:p>
    <w:p>
      <w:pPr>
        <w:spacing w:line="360" w:lineRule="auto"/>
        <w:ind w:left="600" w:hanging="525" w:hangingChars="250"/>
        <w:rPr>
          <w:rFonts w:hint="eastAsia" w:ascii="宋体" w:hAnsi="宋体" w:cs="宋体"/>
          <w:szCs w:val="21"/>
        </w:rPr>
      </w:pPr>
    </w:p>
    <w:p>
      <w:pPr>
        <w:spacing w:line="360" w:lineRule="auto"/>
        <w:rPr>
          <w:rFonts w:hint="eastAsia" w:ascii="宋体" w:hAnsi="宋体"/>
          <w:b/>
          <w:sz w:val="24"/>
          <w:szCs w:val="24"/>
        </w:rPr>
      </w:pPr>
      <w:r>
        <w:rPr>
          <w:rFonts w:hint="eastAsia" w:ascii="宋体" w:hAnsi="宋体"/>
          <w:b/>
          <w:sz w:val="24"/>
          <w:szCs w:val="24"/>
          <w:lang w:val="en-US" w:eastAsia="zh-CN"/>
        </w:rPr>
        <w:t>（4）</w:t>
      </w:r>
      <w:r>
        <w:rPr>
          <w:rFonts w:hint="eastAsia" w:ascii="宋体" w:hAnsi="宋体"/>
          <w:b/>
          <w:sz w:val="24"/>
          <w:szCs w:val="24"/>
        </w:rPr>
        <w:t>放射检查预约</w:t>
      </w:r>
      <w:r>
        <w:rPr>
          <w:rFonts w:hint="eastAsia" w:ascii="宋体" w:hAnsi="宋体"/>
          <w:b/>
          <w:sz w:val="24"/>
          <w:szCs w:val="24"/>
          <w:lang w:eastAsia="zh-CN"/>
        </w:rPr>
        <w:t>自助</w:t>
      </w:r>
      <w:r>
        <w:rPr>
          <w:rFonts w:hint="eastAsia" w:ascii="宋体" w:hAnsi="宋体"/>
          <w:b/>
          <w:sz w:val="24"/>
          <w:szCs w:val="24"/>
        </w:rPr>
        <w:t>报到软件</w:t>
      </w:r>
    </w:p>
    <w:p>
      <w:pPr>
        <w:numPr>
          <w:ilvl w:val="0"/>
          <w:numId w:val="1"/>
        </w:numPr>
        <w:spacing w:line="360" w:lineRule="auto"/>
        <w:ind w:left="420" w:leftChars="0" w:hanging="420" w:firstLineChars="0"/>
        <w:rPr>
          <w:rFonts w:hint="eastAsia" w:ascii="宋体" w:hAnsi="宋体" w:cs="宋体"/>
          <w:szCs w:val="21"/>
        </w:rPr>
      </w:pPr>
      <w:r>
        <w:rPr>
          <w:rFonts w:hint="eastAsia" w:ascii="宋体" w:hAnsi="宋体" w:cs="宋体"/>
          <w:szCs w:val="21"/>
        </w:rPr>
        <w:t>支持与医院医技预约平台</w:t>
      </w:r>
      <w:r>
        <w:rPr>
          <w:rFonts w:hint="eastAsia" w:ascii="宋体" w:hAnsi="宋体" w:cs="宋体"/>
          <w:szCs w:val="21"/>
          <w:lang w:eastAsia="zh-CN"/>
        </w:rPr>
        <w:t>对接</w:t>
      </w:r>
      <w:r>
        <w:rPr>
          <w:rFonts w:hint="eastAsia" w:ascii="宋体" w:hAnsi="宋体" w:cs="宋体"/>
          <w:szCs w:val="21"/>
        </w:rPr>
        <w:t>；</w:t>
      </w:r>
    </w:p>
    <w:p>
      <w:pPr>
        <w:numPr>
          <w:ilvl w:val="0"/>
          <w:numId w:val="1"/>
        </w:numPr>
        <w:spacing w:line="360" w:lineRule="auto"/>
        <w:ind w:left="420" w:leftChars="0" w:hanging="420" w:firstLineChars="0"/>
        <w:rPr>
          <w:rFonts w:hint="eastAsia" w:ascii="宋体" w:hAnsi="宋体" w:cs="宋体"/>
          <w:szCs w:val="21"/>
        </w:rPr>
      </w:pPr>
      <w:r>
        <w:rPr>
          <w:rFonts w:hint="eastAsia" w:ascii="宋体" w:hAnsi="宋体" w:cs="宋体"/>
          <w:szCs w:val="21"/>
        </w:rPr>
        <w:t xml:space="preserve">支持患者预约自主报到功能，在自助机终端完成自助报到； </w:t>
      </w:r>
    </w:p>
    <w:p>
      <w:pPr>
        <w:numPr>
          <w:ilvl w:val="0"/>
          <w:numId w:val="1"/>
        </w:numPr>
        <w:spacing w:line="360" w:lineRule="auto"/>
        <w:ind w:left="420" w:leftChars="0" w:hanging="420" w:firstLineChars="0"/>
        <w:rPr>
          <w:rFonts w:hint="eastAsia" w:ascii="宋体" w:hAnsi="宋体" w:cs="宋体"/>
          <w:szCs w:val="21"/>
        </w:rPr>
      </w:pPr>
      <w:r>
        <w:rPr>
          <w:rFonts w:hint="eastAsia" w:ascii="宋体" w:hAnsi="宋体" w:cs="宋体"/>
          <w:szCs w:val="21"/>
        </w:rPr>
        <w:t>支持通过识别身份证、就诊卡、医保卡或预约单二维码，获取医技检查预约相关医嘱信息，信息应包含：患者基本信息、检查信息、收费、检查时间段、检查房间等；</w:t>
      </w:r>
    </w:p>
    <w:p>
      <w:pPr>
        <w:numPr>
          <w:ilvl w:val="0"/>
          <w:numId w:val="1"/>
        </w:numPr>
        <w:spacing w:line="360" w:lineRule="auto"/>
        <w:ind w:left="420" w:leftChars="0" w:hanging="420" w:firstLineChars="0"/>
        <w:rPr>
          <w:rFonts w:ascii="宋体" w:hAnsi="宋体" w:cs="宋体"/>
          <w:szCs w:val="21"/>
        </w:rPr>
      </w:pPr>
      <w:r>
        <w:rPr>
          <w:rFonts w:hint="eastAsia" w:ascii="宋体" w:hAnsi="宋体" w:cs="宋体"/>
          <w:szCs w:val="21"/>
        </w:rPr>
        <w:t>支持判断报到时间段，如报到时间早于检查时间段30分钟以上，不予以报到；若报到时间晚于检查时间段30分钟以上，需到前台人工处理，自助机不预报到；</w:t>
      </w:r>
    </w:p>
    <w:p>
      <w:pPr>
        <w:numPr>
          <w:ilvl w:val="0"/>
          <w:numId w:val="1"/>
        </w:numPr>
        <w:spacing w:line="360" w:lineRule="auto"/>
        <w:ind w:left="420" w:leftChars="0" w:hanging="420" w:firstLineChars="0"/>
        <w:rPr>
          <w:rFonts w:hint="eastAsia" w:ascii="宋体" w:hAnsi="宋体" w:cs="宋体"/>
          <w:szCs w:val="21"/>
        </w:rPr>
      </w:pPr>
      <w:r>
        <w:rPr>
          <w:rFonts w:hint="eastAsia" w:ascii="宋体" w:hAnsi="宋体" w:cs="宋体"/>
          <w:szCs w:val="21"/>
        </w:rPr>
        <w:t>通过预约信息，实现PACS系统自动登记；</w:t>
      </w:r>
    </w:p>
    <w:p>
      <w:pPr>
        <w:numPr>
          <w:ilvl w:val="0"/>
          <w:numId w:val="1"/>
        </w:numPr>
        <w:spacing w:line="360" w:lineRule="auto"/>
        <w:ind w:left="420" w:leftChars="0" w:hanging="420" w:firstLineChars="0"/>
        <w:rPr>
          <w:rFonts w:hint="eastAsia" w:ascii="宋体" w:hAnsi="宋体" w:cs="宋体"/>
          <w:szCs w:val="21"/>
        </w:rPr>
      </w:pPr>
      <w:r>
        <w:rPr>
          <w:rFonts w:hint="eastAsia" w:ascii="宋体" w:hAnsi="宋体"/>
          <w:szCs w:val="21"/>
        </w:rPr>
        <w:t>支持与PACS、排队分诊系统等科室业务系统对接，自助报到后，输出排队号和分诊信息。</w:t>
      </w:r>
    </w:p>
    <w:p>
      <w:pPr>
        <w:spacing w:line="360" w:lineRule="auto"/>
        <w:ind w:left="600" w:hanging="525" w:hangingChars="250"/>
        <w:rPr>
          <w:rFonts w:ascii="宋体" w:hAnsi="宋体" w:cs="宋体"/>
          <w:szCs w:val="21"/>
        </w:rPr>
      </w:pPr>
    </w:p>
    <w:p>
      <w:pPr>
        <w:spacing w:line="360" w:lineRule="auto"/>
        <w:rPr>
          <w:rFonts w:hint="eastAsia" w:ascii="宋体" w:hAnsi="宋体"/>
          <w:b/>
          <w:sz w:val="24"/>
          <w:szCs w:val="24"/>
        </w:rPr>
      </w:pPr>
      <w:r>
        <w:rPr>
          <w:rFonts w:hint="eastAsia" w:ascii="宋体" w:hAnsi="宋体"/>
          <w:b/>
          <w:sz w:val="24"/>
          <w:szCs w:val="24"/>
          <w:lang w:val="en-US" w:eastAsia="zh-CN"/>
        </w:rPr>
        <w:t>（5）</w:t>
      </w:r>
      <w:r>
        <w:rPr>
          <w:rFonts w:hint="eastAsia" w:ascii="宋体" w:hAnsi="宋体"/>
          <w:b/>
          <w:sz w:val="24"/>
          <w:szCs w:val="24"/>
        </w:rPr>
        <w:t>放射科医学影像报告工作站</w:t>
      </w:r>
    </w:p>
    <w:p>
      <w:pPr>
        <w:numPr>
          <w:ilvl w:val="0"/>
          <w:numId w:val="1"/>
        </w:numPr>
        <w:spacing w:line="360" w:lineRule="auto"/>
        <w:ind w:left="420" w:leftChars="0" w:hanging="420" w:firstLineChars="0"/>
        <w:rPr>
          <w:rFonts w:ascii="宋体" w:hAnsi="宋体" w:cs="宋体"/>
          <w:szCs w:val="21"/>
        </w:rPr>
      </w:pPr>
      <w:r>
        <w:rPr>
          <w:rFonts w:hint="eastAsia" w:ascii="宋体" w:hAnsi="宋体" w:cs="宋体"/>
          <w:szCs w:val="21"/>
        </w:rPr>
        <w:t>支持图像处理与诊断报告同步关联；</w:t>
      </w:r>
    </w:p>
    <w:p>
      <w:pPr>
        <w:numPr>
          <w:ilvl w:val="0"/>
          <w:numId w:val="1"/>
        </w:numPr>
        <w:spacing w:line="360" w:lineRule="auto"/>
        <w:ind w:left="420" w:leftChars="0" w:hanging="420" w:firstLineChars="0"/>
        <w:rPr>
          <w:rFonts w:ascii="宋体" w:hAnsi="宋体" w:cs="宋体"/>
          <w:szCs w:val="21"/>
        </w:rPr>
      </w:pPr>
      <w:r>
        <w:rPr>
          <w:rFonts w:hint="eastAsia" w:ascii="宋体" w:hAnsi="宋体" w:cs="宋体"/>
          <w:szCs w:val="21"/>
        </w:rPr>
        <w:t>支持患者检查状态控制，包括：已登记、已检查、已报告、已审核、已打印、已发送临床等；</w:t>
      </w:r>
    </w:p>
    <w:p>
      <w:pPr>
        <w:numPr>
          <w:ilvl w:val="0"/>
          <w:numId w:val="1"/>
        </w:numPr>
        <w:spacing w:line="360" w:lineRule="auto"/>
        <w:ind w:left="420" w:leftChars="0" w:hanging="420" w:firstLineChars="0"/>
        <w:rPr>
          <w:rFonts w:ascii="宋体" w:hAnsi="宋体" w:cs="宋体"/>
          <w:szCs w:val="21"/>
        </w:rPr>
      </w:pPr>
      <w:r>
        <w:rPr>
          <w:rFonts w:hint="eastAsia" w:ascii="宋体" w:hAnsi="宋体" w:cs="宋体"/>
          <w:szCs w:val="21"/>
        </w:rPr>
        <w:t>支持单项和多项条件组合查询，详细、模糊等查询，诊断结论、关键字查询等；</w:t>
      </w:r>
    </w:p>
    <w:p>
      <w:pPr>
        <w:numPr>
          <w:ilvl w:val="0"/>
          <w:numId w:val="1"/>
        </w:numPr>
        <w:spacing w:line="360" w:lineRule="auto"/>
        <w:ind w:left="420" w:leftChars="0" w:hanging="420" w:firstLineChars="0"/>
        <w:rPr>
          <w:rFonts w:ascii="宋体" w:hAnsi="宋体" w:cs="宋体"/>
          <w:szCs w:val="21"/>
        </w:rPr>
      </w:pPr>
      <w:r>
        <w:rPr>
          <w:rFonts w:hint="eastAsia" w:ascii="宋体" w:hAnsi="宋体" w:cs="宋体"/>
          <w:szCs w:val="21"/>
        </w:rPr>
        <w:t>支持图像多屏显示，患者影像多序列显示，可自定义多种格式的图像阵列显示方式；</w:t>
      </w:r>
    </w:p>
    <w:p>
      <w:pPr>
        <w:numPr>
          <w:ilvl w:val="0"/>
          <w:numId w:val="1"/>
        </w:numPr>
        <w:spacing w:line="360" w:lineRule="auto"/>
        <w:ind w:left="420" w:leftChars="0" w:hanging="420" w:firstLineChars="0"/>
        <w:rPr>
          <w:rFonts w:ascii="宋体" w:hAnsi="宋体" w:cs="宋体"/>
          <w:szCs w:val="21"/>
        </w:rPr>
      </w:pPr>
      <w:r>
        <w:rPr>
          <w:rFonts w:hint="eastAsia" w:ascii="宋体" w:hAnsi="宋体" w:cs="宋体"/>
          <w:szCs w:val="21"/>
        </w:rPr>
        <w:t>支持同屏不同序列图像、不同检查日期、不同检查设备和不同患者的图像的对比显示；</w:t>
      </w:r>
    </w:p>
    <w:p>
      <w:pPr>
        <w:numPr>
          <w:ilvl w:val="0"/>
          <w:numId w:val="1"/>
        </w:numPr>
        <w:spacing w:line="360" w:lineRule="auto"/>
        <w:ind w:left="420" w:leftChars="0" w:hanging="420" w:firstLineChars="0"/>
        <w:rPr>
          <w:rFonts w:ascii="宋体" w:hAnsi="宋体" w:cs="宋体"/>
          <w:szCs w:val="21"/>
        </w:rPr>
      </w:pPr>
      <w:r>
        <w:rPr>
          <w:rFonts w:hint="eastAsia" w:ascii="宋体" w:hAnsi="宋体" w:cs="宋体"/>
          <w:szCs w:val="21"/>
        </w:rPr>
        <w:t>支持手动、自动等多种快速调节窗宽窗位方法，可自定义不同类别设备的预设窗值；</w:t>
      </w:r>
    </w:p>
    <w:p>
      <w:pPr>
        <w:numPr>
          <w:ilvl w:val="0"/>
          <w:numId w:val="1"/>
        </w:numPr>
        <w:spacing w:line="360" w:lineRule="auto"/>
        <w:ind w:left="420" w:leftChars="0" w:hanging="420" w:firstLineChars="0"/>
        <w:rPr>
          <w:rFonts w:ascii="宋体" w:hAnsi="宋体" w:cs="宋体"/>
          <w:szCs w:val="21"/>
        </w:rPr>
      </w:pPr>
      <w:r>
        <w:rPr>
          <w:rFonts w:hint="eastAsia" w:ascii="宋体" w:hAnsi="宋体" w:cs="宋体"/>
          <w:szCs w:val="21"/>
        </w:rPr>
        <w:t>支持移动、无级缩放、放大镜、旋转、直方图均衡、滤波、负像、边缘增强等影像处理；</w:t>
      </w:r>
    </w:p>
    <w:p>
      <w:pPr>
        <w:numPr>
          <w:ilvl w:val="0"/>
          <w:numId w:val="1"/>
        </w:numPr>
        <w:spacing w:line="360" w:lineRule="auto"/>
        <w:ind w:left="420" w:leftChars="0" w:hanging="420" w:firstLineChars="0"/>
        <w:rPr>
          <w:rFonts w:ascii="宋体" w:hAnsi="宋体" w:cs="宋体"/>
          <w:szCs w:val="21"/>
        </w:rPr>
      </w:pPr>
      <w:r>
        <w:rPr>
          <w:rFonts w:hint="eastAsia" w:ascii="宋体" w:hAnsi="宋体" w:cs="宋体"/>
          <w:szCs w:val="21"/>
        </w:rPr>
        <w:t>支持影像动态播放、回放，可自由调整播放速度，播放过程中可即时调节窗宽窗位；</w:t>
      </w:r>
    </w:p>
    <w:p>
      <w:pPr>
        <w:numPr>
          <w:ilvl w:val="0"/>
          <w:numId w:val="1"/>
        </w:numPr>
        <w:spacing w:line="360" w:lineRule="auto"/>
        <w:ind w:left="420" w:leftChars="0" w:hanging="420" w:firstLineChars="0"/>
        <w:rPr>
          <w:rFonts w:ascii="宋体" w:hAnsi="宋体" w:cs="宋体"/>
          <w:szCs w:val="21"/>
        </w:rPr>
      </w:pPr>
      <w:r>
        <w:rPr>
          <w:rFonts w:hint="eastAsia" w:ascii="宋体" w:hAnsi="宋体" w:cs="宋体"/>
          <w:szCs w:val="21"/>
        </w:rPr>
        <w:t>支持在图像的局部感兴趣区调窗、缩放等处理；</w:t>
      </w:r>
    </w:p>
    <w:p>
      <w:pPr>
        <w:numPr>
          <w:ilvl w:val="0"/>
          <w:numId w:val="1"/>
        </w:numPr>
        <w:spacing w:line="360" w:lineRule="auto"/>
        <w:ind w:left="420" w:leftChars="0" w:hanging="420" w:firstLineChars="0"/>
        <w:rPr>
          <w:rFonts w:ascii="宋体" w:hAnsi="宋体" w:cs="宋体"/>
          <w:szCs w:val="21"/>
        </w:rPr>
      </w:pPr>
      <w:r>
        <w:rPr>
          <w:rFonts w:hint="eastAsia" w:ascii="宋体" w:hAnsi="宋体" w:cs="宋体"/>
          <w:szCs w:val="21"/>
        </w:rPr>
        <w:t>支持长度、角度、面积、灰度值</w:t>
      </w:r>
      <w:r>
        <w:rPr>
          <w:rFonts w:ascii="宋体" w:hAnsi="宋体" w:cs="宋体"/>
          <w:szCs w:val="21"/>
        </w:rPr>
        <w:t>/CT值等影像测量，序列对比时可将测量区域操作复制并显示测量值；</w:t>
      </w:r>
    </w:p>
    <w:p>
      <w:pPr>
        <w:numPr>
          <w:ilvl w:val="0"/>
          <w:numId w:val="1"/>
        </w:numPr>
        <w:spacing w:line="360" w:lineRule="auto"/>
        <w:ind w:left="420" w:leftChars="0" w:hanging="420" w:firstLineChars="0"/>
        <w:rPr>
          <w:rFonts w:ascii="宋体" w:hAnsi="宋体" w:cs="宋体"/>
          <w:szCs w:val="21"/>
        </w:rPr>
      </w:pPr>
      <w:r>
        <w:rPr>
          <w:rFonts w:hint="eastAsia" w:ascii="宋体" w:hAnsi="宋体" w:cs="宋体"/>
          <w:szCs w:val="21"/>
        </w:rPr>
        <w:t>支持文字和字母在图像上标注；</w:t>
      </w:r>
    </w:p>
    <w:p>
      <w:pPr>
        <w:numPr>
          <w:ilvl w:val="0"/>
          <w:numId w:val="1"/>
        </w:numPr>
        <w:spacing w:line="360" w:lineRule="auto"/>
        <w:ind w:left="420" w:leftChars="0" w:hanging="420" w:firstLineChars="0"/>
        <w:rPr>
          <w:rFonts w:ascii="宋体" w:hAnsi="宋体" w:cs="宋体"/>
          <w:szCs w:val="21"/>
        </w:rPr>
      </w:pPr>
      <w:r>
        <w:rPr>
          <w:rFonts w:hint="eastAsia" w:ascii="宋体" w:hAnsi="宋体" w:cs="宋体"/>
          <w:szCs w:val="21"/>
        </w:rPr>
        <w:t>支持脊柱标记，心胸比测量，病灶一键三维立体定位，图像交叉定位，多序列同步对比；</w:t>
      </w:r>
    </w:p>
    <w:p>
      <w:pPr>
        <w:numPr>
          <w:ilvl w:val="0"/>
          <w:numId w:val="1"/>
        </w:numPr>
        <w:spacing w:line="360" w:lineRule="auto"/>
        <w:ind w:left="420" w:leftChars="0" w:hanging="420" w:firstLineChars="0"/>
        <w:rPr>
          <w:rFonts w:ascii="宋体" w:hAnsi="宋体" w:cs="宋体"/>
          <w:szCs w:val="21"/>
        </w:rPr>
      </w:pPr>
      <w:r>
        <w:rPr>
          <w:rFonts w:hint="eastAsia" w:ascii="宋体" w:hAnsi="宋体" w:cs="宋体"/>
          <w:szCs w:val="21"/>
        </w:rPr>
        <w:t>支持关键帧的标注及调阅；</w:t>
      </w:r>
    </w:p>
    <w:p>
      <w:pPr>
        <w:numPr>
          <w:ilvl w:val="0"/>
          <w:numId w:val="1"/>
        </w:numPr>
        <w:spacing w:line="360" w:lineRule="auto"/>
        <w:ind w:left="420" w:leftChars="0" w:hanging="420" w:firstLineChars="0"/>
        <w:rPr>
          <w:rFonts w:ascii="宋体" w:hAnsi="宋体" w:cs="宋体"/>
          <w:szCs w:val="21"/>
        </w:rPr>
      </w:pPr>
      <w:r>
        <w:rPr>
          <w:rFonts w:hint="eastAsia" w:ascii="宋体" w:hAnsi="宋体" w:cs="宋体"/>
          <w:szCs w:val="21"/>
        </w:rPr>
        <w:t>支持多平面（</w:t>
      </w:r>
      <w:r>
        <w:rPr>
          <w:rFonts w:ascii="宋体" w:hAnsi="宋体" w:cs="宋体"/>
          <w:szCs w:val="21"/>
        </w:rPr>
        <w:t>MPR）重建、最大密度（MIP）重建等；</w:t>
      </w:r>
    </w:p>
    <w:p>
      <w:pPr>
        <w:numPr>
          <w:ilvl w:val="0"/>
          <w:numId w:val="1"/>
        </w:numPr>
        <w:spacing w:line="360" w:lineRule="auto"/>
        <w:ind w:left="420" w:leftChars="0" w:hanging="420" w:firstLineChars="0"/>
        <w:rPr>
          <w:rFonts w:ascii="宋体" w:hAnsi="宋体" w:cs="宋体"/>
          <w:szCs w:val="21"/>
        </w:rPr>
      </w:pPr>
      <w:r>
        <w:rPr>
          <w:rFonts w:hint="eastAsia" w:ascii="宋体" w:hAnsi="宋体" w:cs="宋体"/>
          <w:szCs w:val="21"/>
        </w:rPr>
        <w:t>支持报告编辑界面自动查询显示历次检查报告，复诊患者自动显示过往检查记录，并可对比查看过往图像，不需要医生通过查询界面获取；</w:t>
      </w:r>
    </w:p>
    <w:p>
      <w:pPr>
        <w:numPr>
          <w:ilvl w:val="0"/>
          <w:numId w:val="1"/>
        </w:numPr>
        <w:spacing w:line="360" w:lineRule="auto"/>
        <w:ind w:left="420" w:leftChars="0" w:hanging="420" w:firstLineChars="0"/>
        <w:rPr>
          <w:rFonts w:ascii="宋体" w:hAnsi="宋体" w:cs="宋体"/>
          <w:szCs w:val="21"/>
        </w:rPr>
      </w:pPr>
      <w:r>
        <w:rPr>
          <w:rFonts w:hint="eastAsia" w:ascii="宋体" w:hAnsi="宋体" w:cs="宋体"/>
          <w:szCs w:val="21"/>
        </w:rPr>
        <w:t>支持急诊报告自动提醒；</w:t>
      </w:r>
    </w:p>
    <w:p>
      <w:pPr>
        <w:numPr>
          <w:ilvl w:val="0"/>
          <w:numId w:val="1"/>
        </w:numPr>
        <w:spacing w:line="360" w:lineRule="auto"/>
        <w:ind w:left="420" w:leftChars="0" w:hanging="420" w:firstLineChars="0"/>
        <w:rPr>
          <w:rFonts w:ascii="宋体" w:hAnsi="宋体" w:cs="宋体"/>
          <w:szCs w:val="21"/>
        </w:rPr>
      </w:pPr>
      <w:r>
        <w:rPr>
          <w:rFonts w:hint="eastAsia" w:ascii="宋体" w:hAnsi="宋体" w:cs="宋体"/>
          <w:szCs w:val="21"/>
        </w:rPr>
        <w:t>支持危急值智能提醒，可设置危急值参数，与</w:t>
      </w:r>
      <w:r>
        <w:rPr>
          <w:rFonts w:ascii="宋体" w:hAnsi="宋体" w:cs="宋体"/>
          <w:szCs w:val="21"/>
        </w:rPr>
        <w:t>HIS等接口上报，具有危急值闭环管理；</w:t>
      </w:r>
    </w:p>
    <w:p>
      <w:pPr>
        <w:numPr>
          <w:ilvl w:val="0"/>
          <w:numId w:val="1"/>
        </w:numPr>
        <w:spacing w:line="360" w:lineRule="auto"/>
        <w:ind w:left="420" w:leftChars="0" w:hanging="420" w:firstLineChars="0"/>
        <w:rPr>
          <w:rFonts w:ascii="宋体" w:hAnsi="宋体" w:cs="宋体"/>
          <w:szCs w:val="21"/>
        </w:rPr>
      </w:pPr>
      <w:r>
        <w:rPr>
          <w:rFonts w:hint="eastAsia" w:ascii="宋体" w:hAnsi="宋体" w:cs="宋体"/>
          <w:szCs w:val="21"/>
        </w:rPr>
        <w:t>支持对图像、报告质量进行评价，可设置详细的评价指标；</w:t>
      </w:r>
    </w:p>
    <w:p>
      <w:pPr>
        <w:numPr>
          <w:ilvl w:val="0"/>
          <w:numId w:val="1"/>
        </w:numPr>
        <w:spacing w:line="360" w:lineRule="auto"/>
        <w:ind w:left="420" w:leftChars="0" w:hanging="420" w:firstLineChars="0"/>
        <w:rPr>
          <w:rFonts w:ascii="宋体" w:hAnsi="宋体" w:cs="宋体"/>
          <w:szCs w:val="21"/>
        </w:rPr>
      </w:pPr>
      <w:r>
        <w:rPr>
          <w:rFonts w:hint="eastAsia" w:ascii="宋体" w:hAnsi="宋体" w:cs="宋体"/>
          <w:szCs w:val="21"/>
        </w:rPr>
        <w:t>支持报告修改痕迹记录追溯功能，用颜色清楚标识每次增加、修改或删除的内容，记录操作人员、修改时间；</w:t>
      </w:r>
    </w:p>
    <w:p>
      <w:pPr>
        <w:numPr>
          <w:ilvl w:val="0"/>
          <w:numId w:val="1"/>
        </w:numPr>
        <w:spacing w:line="360" w:lineRule="auto"/>
        <w:ind w:left="420" w:leftChars="0" w:hanging="420" w:firstLineChars="0"/>
        <w:rPr>
          <w:rFonts w:ascii="宋体" w:hAnsi="宋体" w:cs="宋体"/>
          <w:szCs w:val="21"/>
        </w:rPr>
      </w:pPr>
      <w:r>
        <w:rPr>
          <w:rFonts w:hint="eastAsia" w:ascii="宋体" w:hAnsi="宋体" w:cs="宋体"/>
          <w:szCs w:val="21"/>
        </w:rPr>
        <w:t>支持报告自动保存，提供报告回退流程；</w:t>
      </w:r>
    </w:p>
    <w:p>
      <w:pPr>
        <w:numPr>
          <w:ilvl w:val="0"/>
          <w:numId w:val="1"/>
        </w:numPr>
        <w:spacing w:line="360" w:lineRule="auto"/>
        <w:ind w:left="420" w:leftChars="0" w:hanging="420" w:firstLineChars="0"/>
        <w:rPr>
          <w:rFonts w:ascii="宋体" w:hAnsi="宋体" w:cs="宋体"/>
          <w:szCs w:val="21"/>
        </w:rPr>
      </w:pPr>
      <w:r>
        <w:rPr>
          <w:rFonts w:hint="eastAsia" w:ascii="宋体" w:hAnsi="宋体" w:cs="宋体"/>
          <w:szCs w:val="21"/>
        </w:rPr>
        <w:t>支持自动判断报告可疑冲突，可判断临床开出的申请单是否有项目冲突；</w:t>
      </w:r>
    </w:p>
    <w:p>
      <w:pPr>
        <w:numPr>
          <w:ilvl w:val="0"/>
          <w:numId w:val="1"/>
        </w:numPr>
        <w:spacing w:line="360" w:lineRule="auto"/>
        <w:ind w:left="420" w:leftChars="0" w:hanging="420" w:firstLineChars="0"/>
        <w:rPr>
          <w:rFonts w:hint="eastAsia" w:ascii="宋体" w:hAnsi="宋体" w:cs="宋体"/>
          <w:szCs w:val="21"/>
        </w:rPr>
      </w:pPr>
      <w:r>
        <w:rPr>
          <w:rFonts w:hint="eastAsia" w:ascii="宋体" w:hAnsi="宋体" w:cs="宋体"/>
          <w:szCs w:val="21"/>
        </w:rPr>
        <w:t>支持报告书写测量值自动判断，对于测量值可进行正常范围判断并高亮提醒；</w:t>
      </w:r>
    </w:p>
    <w:p>
      <w:pPr>
        <w:numPr>
          <w:ilvl w:val="0"/>
          <w:numId w:val="1"/>
        </w:numPr>
        <w:spacing w:line="360" w:lineRule="auto"/>
        <w:ind w:left="420" w:leftChars="0" w:hanging="420" w:firstLineChars="0"/>
        <w:rPr>
          <w:rFonts w:ascii="宋体" w:hAnsi="宋体" w:cs="宋体"/>
          <w:szCs w:val="21"/>
        </w:rPr>
      </w:pPr>
      <w:r>
        <w:rPr>
          <w:rFonts w:hint="eastAsia" w:ascii="宋体" w:hAnsi="宋体" w:cs="宋体"/>
          <w:szCs w:val="21"/>
        </w:rPr>
        <w:t>支持结构化报告；</w:t>
      </w:r>
    </w:p>
    <w:p>
      <w:pPr>
        <w:numPr>
          <w:ilvl w:val="0"/>
          <w:numId w:val="1"/>
        </w:numPr>
        <w:spacing w:line="360" w:lineRule="auto"/>
        <w:ind w:left="420" w:leftChars="0" w:hanging="420" w:firstLineChars="0"/>
        <w:rPr>
          <w:rFonts w:ascii="宋体" w:hAnsi="宋体" w:cs="宋体"/>
          <w:szCs w:val="21"/>
        </w:rPr>
      </w:pPr>
      <w:r>
        <w:rPr>
          <w:rFonts w:hint="eastAsia" w:ascii="宋体" w:hAnsi="宋体" w:cs="宋体"/>
          <w:szCs w:val="21"/>
        </w:rPr>
        <w:t>支持结构化树形报告模板，支持按设备类别、检查部位和病种展开，用户可自定义个性化模板，创建个人模板；</w:t>
      </w:r>
    </w:p>
    <w:p>
      <w:pPr>
        <w:numPr>
          <w:ilvl w:val="0"/>
          <w:numId w:val="1"/>
        </w:numPr>
        <w:spacing w:line="360" w:lineRule="auto"/>
        <w:ind w:left="420" w:leftChars="0" w:hanging="420" w:firstLineChars="0"/>
        <w:rPr>
          <w:rFonts w:ascii="宋体" w:hAnsi="宋体" w:cs="宋体"/>
          <w:szCs w:val="21"/>
        </w:rPr>
      </w:pPr>
      <w:r>
        <w:rPr>
          <w:rFonts w:hint="eastAsia" w:ascii="宋体" w:hAnsi="宋体" w:cs="宋体"/>
          <w:szCs w:val="21"/>
        </w:rPr>
        <w:t>支持三级报告体系，具备报告锁定机制，报告审核医生通过该模块对报告书写医生的报告进行审核，审核完成后即可进行发布；</w:t>
      </w:r>
    </w:p>
    <w:p>
      <w:pPr>
        <w:numPr>
          <w:ilvl w:val="0"/>
          <w:numId w:val="1"/>
        </w:numPr>
        <w:spacing w:line="360" w:lineRule="auto"/>
        <w:ind w:left="420" w:leftChars="0" w:hanging="420" w:firstLineChars="0"/>
        <w:rPr>
          <w:rFonts w:ascii="宋体" w:hAnsi="宋体" w:cs="宋体"/>
          <w:szCs w:val="21"/>
        </w:rPr>
      </w:pPr>
      <w:r>
        <w:rPr>
          <w:rFonts w:hint="eastAsia" w:ascii="宋体" w:hAnsi="宋体" w:cs="宋体"/>
          <w:szCs w:val="21"/>
        </w:rPr>
        <w:t>支持报告阴</w:t>
      </w:r>
      <w:r>
        <w:rPr>
          <w:rFonts w:ascii="宋体" w:hAnsi="宋体" w:cs="宋体"/>
          <w:szCs w:val="21"/>
        </w:rPr>
        <w:t>/阳性选择，支持多种病种分类方法；</w:t>
      </w:r>
    </w:p>
    <w:p>
      <w:pPr>
        <w:numPr>
          <w:ilvl w:val="0"/>
          <w:numId w:val="2"/>
        </w:numPr>
        <w:spacing w:line="360" w:lineRule="auto"/>
        <w:rPr>
          <w:rFonts w:hint="eastAsia" w:ascii="宋体" w:hAnsi="宋体"/>
          <w:b/>
          <w:sz w:val="24"/>
          <w:szCs w:val="24"/>
        </w:rPr>
      </w:pPr>
      <w:r>
        <w:rPr>
          <w:rFonts w:hint="eastAsia" w:ascii="宋体" w:hAnsi="宋体"/>
          <w:b/>
          <w:sz w:val="24"/>
          <w:szCs w:val="24"/>
        </w:rPr>
        <w:t>放射科医学影像报告</w:t>
      </w:r>
      <w:r>
        <w:rPr>
          <w:rFonts w:hint="eastAsia" w:ascii="宋体" w:hAnsi="宋体"/>
          <w:b/>
          <w:sz w:val="24"/>
          <w:szCs w:val="24"/>
          <w:lang w:eastAsia="zh-CN"/>
        </w:rPr>
        <w:t>工作站配套硬件</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921"/>
        <w:gridCol w:w="5520"/>
        <w:gridCol w:w="108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21" w:type="dxa"/>
          </w:tcPr>
          <w:p>
            <w:pPr>
              <w:spacing w:line="360" w:lineRule="auto"/>
              <w:jc w:val="center"/>
              <w:rPr>
                <w:rFonts w:hint="eastAsia" w:asciiTheme="minorEastAsia" w:hAnsiTheme="minorEastAsia" w:eastAsiaTheme="minorEastAsia"/>
                <w:b/>
                <w:color w:val="000000"/>
                <w:sz w:val="24"/>
                <w:lang w:eastAsia="zh-CN"/>
              </w:rPr>
            </w:pPr>
            <w:r>
              <w:rPr>
                <w:rFonts w:hint="eastAsia" w:asciiTheme="minorEastAsia" w:hAnsiTheme="minorEastAsia" w:eastAsiaTheme="minorEastAsia"/>
                <w:b/>
                <w:color w:val="000000"/>
                <w:sz w:val="24"/>
                <w:lang w:eastAsia="zh-CN"/>
              </w:rPr>
              <w:t>名称</w:t>
            </w:r>
          </w:p>
        </w:tc>
        <w:tc>
          <w:tcPr>
            <w:tcW w:w="5520" w:type="dxa"/>
          </w:tcPr>
          <w:p>
            <w:pPr>
              <w:spacing w:line="360" w:lineRule="auto"/>
              <w:jc w:val="center"/>
              <w:rPr>
                <w:rFonts w:asciiTheme="minorEastAsia" w:hAnsiTheme="minorEastAsia" w:eastAsiaTheme="minorEastAsia"/>
                <w:b/>
                <w:color w:val="000000"/>
                <w:sz w:val="24"/>
              </w:rPr>
            </w:pPr>
            <w:r>
              <w:rPr>
                <w:rFonts w:hint="eastAsia" w:asciiTheme="minorEastAsia" w:hAnsiTheme="minorEastAsia" w:eastAsiaTheme="minorEastAsia"/>
                <w:b/>
                <w:color w:val="000000"/>
                <w:sz w:val="24"/>
                <w:lang w:eastAsia="zh-CN"/>
              </w:rPr>
              <w:t>规格参数</w:t>
            </w:r>
          </w:p>
        </w:tc>
        <w:tc>
          <w:tcPr>
            <w:tcW w:w="1081" w:type="dxa"/>
          </w:tcPr>
          <w:p>
            <w:pPr>
              <w:spacing w:line="360" w:lineRule="auto"/>
              <w:jc w:val="center"/>
              <w:rPr>
                <w:rFonts w:hint="eastAsia" w:asciiTheme="minorEastAsia" w:hAnsiTheme="minorEastAsia" w:eastAsiaTheme="minorEastAsia"/>
                <w:b/>
                <w:color w:val="000000"/>
                <w:sz w:val="24"/>
                <w:lang w:eastAsia="zh-CN"/>
              </w:rPr>
            </w:pPr>
            <w:r>
              <w:rPr>
                <w:rFonts w:hint="eastAsia" w:asciiTheme="minorEastAsia" w:hAnsiTheme="minorEastAsia" w:eastAsiaTheme="minorEastAsia"/>
                <w:b/>
                <w:color w:val="000000"/>
                <w:sz w:val="24"/>
                <w:lang w:eastAsia="zh-CN"/>
              </w:rPr>
              <w:t>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21" w:type="dxa"/>
            <w:vAlign w:val="center"/>
          </w:tcPr>
          <w:p>
            <w:pPr>
              <w:spacing w:line="360" w:lineRule="auto"/>
              <w:jc w:val="center"/>
              <w:rPr>
                <w:rFonts w:hint="eastAsia" w:ascii="宋体" w:hAnsi="宋体"/>
                <w:lang w:eastAsia="zh-CN"/>
              </w:rPr>
            </w:pPr>
            <w:r>
              <w:rPr>
                <w:rFonts w:hint="eastAsia" w:ascii="宋体" w:hAnsi="宋体"/>
                <w:lang w:eastAsia="zh-CN"/>
              </w:rPr>
              <w:t>处理器</w:t>
            </w:r>
          </w:p>
        </w:tc>
        <w:tc>
          <w:tcPr>
            <w:tcW w:w="5520" w:type="dxa"/>
            <w:vAlign w:val="center"/>
          </w:tcPr>
          <w:p>
            <w:pPr>
              <w:spacing w:line="360" w:lineRule="auto"/>
              <w:jc w:val="center"/>
              <w:rPr>
                <w:rFonts w:hint="eastAsia" w:ascii="宋体" w:hAnsi="宋体"/>
                <w:lang w:eastAsia="zh-CN"/>
              </w:rPr>
            </w:pPr>
            <w:r>
              <w:rPr>
                <w:rFonts w:hint="eastAsia" w:ascii="宋体" w:hAnsi="宋体"/>
                <w:lang w:eastAsia="zh-CN"/>
              </w:rPr>
              <w:t>≥i7 十代处理器，主频不低于2.5GHz；</w:t>
            </w:r>
          </w:p>
        </w:tc>
        <w:tc>
          <w:tcPr>
            <w:tcW w:w="1081" w:type="dxa"/>
            <w:vMerge w:val="restart"/>
            <w:vAlign w:val="center"/>
          </w:tcPr>
          <w:p>
            <w:pPr>
              <w:spacing w:line="360" w:lineRule="auto"/>
              <w:jc w:val="center"/>
              <w:rPr>
                <w:rFonts w:hint="eastAsia"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21" w:type="dxa"/>
            <w:vAlign w:val="center"/>
          </w:tcPr>
          <w:p>
            <w:pPr>
              <w:spacing w:line="360" w:lineRule="auto"/>
              <w:jc w:val="center"/>
              <w:rPr>
                <w:rFonts w:hint="eastAsia" w:ascii="宋体" w:hAnsi="宋体"/>
                <w:lang w:eastAsia="zh-CN"/>
              </w:rPr>
            </w:pPr>
            <w:r>
              <w:rPr>
                <w:rFonts w:hint="eastAsia" w:ascii="宋体" w:hAnsi="宋体"/>
                <w:lang w:eastAsia="zh-CN"/>
              </w:rPr>
              <w:t>内存</w:t>
            </w:r>
          </w:p>
        </w:tc>
        <w:tc>
          <w:tcPr>
            <w:tcW w:w="5520" w:type="dxa"/>
            <w:vAlign w:val="center"/>
          </w:tcPr>
          <w:p>
            <w:pPr>
              <w:spacing w:line="360" w:lineRule="auto"/>
              <w:jc w:val="center"/>
              <w:rPr>
                <w:rFonts w:hint="default" w:ascii="宋体" w:hAnsi="宋体"/>
                <w:lang w:val="en-US" w:eastAsia="zh-CN"/>
              </w:rPr>
            </w:pPr>
            <w:r>
              <w:rPr>
                <w:rFonts w:hint="eastAsia" w:ascii="宋体" w:hAnsi="宋体"/>
                <w:lang w:eastAsia="zh-CN"/>
              </w:rPr>
              <w:t>≥</w:t>
            </w:r>
            <w:r>
              <w:rPr>
                <w:rFonts w:hint="eastAsia" w:ascii="宋体" w:hAnsi="宋体"/>
                <w:lang w:val="en-US" w:eastAsia="zh-CN"/>
              </w:rPr>
              <w:t>16GB</w:t>
            </w:r>
          </w:p>
        </w:tc>
        <w:tc>
          <w:tcPr>
            <w:tcW w:w="1081" w:type="dxa"/>
            <w:vMerge w:val="continue"/>
            <w:vAlign w:val="center"/>
          </w:tcPr>
          <w:p>
            <w:pPr>
              <w:spacing w:line="360" w:lineRule="auto"/>
              <w:jc w:val="center"/>
              <w:rPr>
                <w:rFonts w:hint="eastAsia"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21" w:type="dxa"/>
            <w:vAlign w:val="center"/>
          </w:tcPr>
          <w:p>
            <w:pPr>
              <w:spacing w:line="360" w:lineRule="auto"/>
              <w:jc w:val="center"/>
              <w:rPr>
                <w:rFonts w:hint="eastAsia" w:ascii="宋体" w:hAnsi="宋体"/>
                <w:lang w:eastAsia="zh-CN"/>
              </w:rPr>
            </w:pPr>
            <w:r>
              <w:rPr>
                <w:rFonts w:hint="eastAsia" w:ascii="宋体" w:hAnsi="宋体"/>
                <w:lang w:eastAsia="zh-CN"/>
              </w:rPr>
              <w:t>硬盘</w:t>
            </w:r>
          </w:p>
        </w:tc>
        <w:tc>
          <w:tcPr>
            <w:tcW w:w="5520" w:type="dxa"/>
            <w:vAlign w:val="center"/>
          </w:tcPr>
          <w:p>
            <w:pPr>
              <w:spacing w:line="360" w:lineRule="auto"/>
              <w:jc w:val="center"/>
              <w:rPr>
                <w:rFonts w:hint="eastAsia" w:ascii="宋体" w:hAnsi="宋体"/>
                <w:lang w:eastAsia="zh-CN"/>
              </w:rPr>
            </w:pPr>
            <w:r>
              <w:rPr>
                <w:rFonts w:hint="eastAsia" w:ascii="宋体" w:hAnsi="宋体"/>
                <w:lang w:eastAsia="zh-CN"/>
              </w:rPr>
              <w:t>≥</w:t>
            </w:r>
            <w:r>
              <w:rPr>
                <w:rFonts w:hint="eastAsia" w:ascii="宋体" w:hAnsi="宋体"/>
                <w:lang w:val="en-US" w:eastAsia="zh-CN"/>
              </w:rPr>
              <w:t>256GB固态硬盘+≥1TB机械硬盘</w:t>
            </w:r>
          </w:p>
        </w:tc>
        <w:tc>
          <w:tcPr>
            <w:tcW w:w="1081" w:type="dxa"/>
            <w:vMerge w:val="continue"/>
            <w:vAlign w:val="center"/>
          </w:tcPr>
          <w:p>
            <w:pPr>
              <w:spacing w:line="360" w:lineRule="auto"/>
              <w:jc w:val="center"/>
              <w:rPr>
                <w:rFonts w:hint="eastAsia"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21" w:type="dxa"/>
            <w:vAlign w:val="center"/>
          </w:tcPr>
          <w:p>
            <w:pPr>
              <w:spacing w:line="360" w:lineRule="auto"/>
              <w:jc w:val="center"/>
              <w:rPr>
                <w:rFonts w:hint="eastAsia" w:ascii="宋体" w:hAnsi="宋体"/>
                <w:lang w:eastAsia="zh-CN"/>
              </w:rPr>
            </w:pPr>
            <w:r>
              <w:rPr>
                <w:rFonts w:hint="eastAsia" w:ascii="宋体" w:hAnsi="宋体"/>
                <w:lang w:eastAsia="zh-CN"/>
              </w:rPr>
              <w:t>显示器</w:t>
            </w:r>
          </w:p>
        </w:tc>
        <w:tc>
          <w:tcPr>
            <w:tcW w:w="5520" w:type="dxa"/>
            <w:vAlign w:val="center"/>
          </w:tcPr>
          <w:p>
            <w:pPr>
              <w:spacing w:line="360" w:lineRule="auto"/>
              <w:jc w:val="center"/>
              <w:rPr>
                <w:rFonts w:hint="eastAsia" w:ascii="宋体" w:hAnsi="宋体"/>
                <w:lang w:eastAsia="zh-CN"/>
              </w:rPr>
            </w:pPr>
            <w:r>
              <w:rPr>
                <w:rFonts w:hint="eastAsia" w:ascii="宋体" w:hAnsi="宋体"/>
                <w:lang w:eastAsia="zh-CN"/>
              </w:rPr>
              <w:t>≥</w:t>
            </w:r>
            <w:r>
              <w:rPr>
                <w:rFonts w:hint="eastAsia" w:ascii="宋体" w:hAnsi="宋体"/>
                <w:lang w:val="en-US" w:eastAsia="zh-CN"/>
              </w:rPr>
              <w:t>26寸液晶显示器</w:t>
            </w:r>
          </w:p>
        </w:tc>
        <w:tc>
          <w:tcPr>
            <w:tcW w:w="1081" w:type="dxa"/>
            <w:vMerge w:val="continue"/>
            <w:vAlign w:val="center"/>
          </w:tcPr>
          <w:p>
            <w:pPr>
              <w:spacing w:line="360" w:lineRule="auto"/>
              <w:jc w:val="center"/>
              <w:rPr>
                <w:rFonts w:hint="eastAsia"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21" w:type="dxa"/>
            <w:vAlign w:val="center"/>
          </w:tcPr>
          <w:p>
            <w:pPr>
              <w:spacing w:line="360" w:lineRule="auto"/>
              <w:jc w:val="center"/>
              <w:rPr>
                <w:rFonts w:hint="eastAsia" w:ascii="宋体" w:hAnsi="宋体"/>
                <w:lang w:eastAsia="zh-CN"/>
              </w:rPr>
            </w:pPr>
            <w:r>
              <w:rPr>
                <w:rFonts w:hint="eastAsia" w:ascii="宋体" w:hAnsi="宋体"/>
                <w:lang w:eastAsia="zh-CN"/>
              </w:rPr>
              <w:t>显卡</w:t>
            </w:r>
          </w:p>
        </w:tc>
        <w:tc>
          <w:tcPr>
            <w:tcW w:w="5520" w:type="dxa"/>
            <w:vAlign w:val="center"/>
          </w:tcPr>
          <w:p>
            <w:pPr>
              <w:spacing w:line="360" w:lineRule="auto"/>
              <w:jc w:val="center"/>
              <w:rPr>
                <w:rFonts w:hint="eastAsia" w:ascii="宋体" w:hAnsi="宋体"/>
                <w:lang w:eastAsia="zh-CN"/>
              </w:rPr>
            </w:pPr>
            <w:r>
              <w:rPr>
                <w:rFonts w:hint="eastAsia" w:ascii="宋体" w:hAnsi="宋体"/>
                <w:lang w:eastAsia="zh-CN"/>
              </w:rPr>
              <w:t>支持独立显卡</w:t>
            </w:r>
          </w:p>
        </w:tc>
        <w:tc>
          <w:tcPr>
            <w:tcW w:w="1081" w:type="dxa"/>
            <w:vMerge w:val="continue"/>
            <w:vAlign w:val="center"/>
          </w:tcPr>
          <w:p>
            <w:pPr>
              <w:spacing w:line="360" w:lineRule="auto"/>
              <w:jc w:val="center"/>
              <w:rPr>
                <w:rFonts w:hint="eastAsia" w:ascii="宋体" w:hAnsi="宋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1" w:hRule="atLeast"/>
        </w:trPr>
        <w:tc>
          <w:tcPr>
            <w:tcW w:w="1921" w:type="dxa"/>
            <w:vAlign w:val="center"/>
          </w:tcPr>
          <w:p>
            <w:pPr>
              <w:spacing w:line="360" w:lineRule="auto"/>
              <w:jc w:val="center"/>
              <w:rPr>
                <w:rFonts w:hint="eastAsia" w:ascii="宋体" w:hAnsi="宋体"/>
                <w:lang w:eastAsia="zh-CN"/>
              </w:rPr>
            </w:pPr>
            <w:r>
              <w:rPr>
                <w:rFonts w:hint="eastAsia" w:ascii="宋体" w:hAnsi="宋体"/>
                <w:lang w:eastAsia="zh-CN"/>
              </w:rPr>
              <w:t>其他外设</w:t>
            </w:r>
          </w:p>
        </w:tc>
        <w:tc>
          <w:tcPr>
            <w:tcW w:w="5520" w:type="dxa"/>
            <w:vAlign w:val="center"/>
          </w:tcPr>
          <w:p>
            <w:pPr>
              <w:spacing w:line="360" w:lineRule="auto"/>
              <w:jc w:val="center"/>
              <w:rPr>
                <w:rFonts w:hint="eastAsia" w:ascii="宋体" w:hAnsi="宋体"/>
                <w:lang w:eastAsia="zh-CN"/>
              </w:rPr>
            </w:pPr>
            <w:r>
              <w:rPr>
                <w:rFonts w:hint="eastAsia" w:ascii="宋体" w:hAnsi="宋体"/>
                <w:lang w:eastAsia="zh-CN"/>
              </w:rPr>
              <w:t>键盘、鼠标</w:t>
            </w:r>
          </w:p>
        </w:tc>
        <w:tc>
          <w:tcPr>
            <w:tcW w:w="1081" w:type="dxa"/>
            <w:vMerge w:val="continue"/>
            <w:vAlign w:val="center"/>
          </w:tcPr>
          <w:p>
            <w:pPr>
              <w:spacing w:line="360" w:lineRule="auto"/>
              <w:jc w:val="center"/>
              <w:rPr>
                <w:rFonts w:hint="eastAsia" w:ascii="宋体" w:hAnsi="宋体"/>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21" w:type="dxa"/>
            <w:vAlign w:val="center"/>
          </w:tcPr>
          <w:p>
            <w:pPr>
              <w:spacing w:line="360" w:lineRule="auto"/>
              <w:jc w:val="center"/>
              <w:rPr>
                <w:rFonts w:hint="eastAsia" w:ascii="宋体" w:hAnsi="宋体"/>
                <w:lang w:eastAsia="zh-CN"/>
              </w:rPr>
            </w:pPr>
            <w:r>
              <w:rPr>
                <w:rFonts w:hint="eastAsia" w:ascii="宋体" w:hAnsi="宋体"/>
                <w:lang w:eastAsia="zh-CN"/>
              </w:rPr>
              <w:t>操作系统</w:t>
            </w:r>
          </w:p>
        </w:tc>
        <w:tc>
          <w:tcPr>
            <w:tcW w:w="5520" w:type="dxa"/>
            <w:vAlign w:val="center"/>
          </w:tcPr>
          <w:p>
            <w:pPr>
              <w:spacing w:line="360" w:lineRule="auto"/>
              <w:jc w:val="center"/>
              <w:rPr>
                <w:rFonts w:hint="eastAsia" w:ascii="宋体" w:hAnsi="宋体"/>
                <w:lang w:eastAsia="zh-CN"/>
              </w:rPr>
            </w:pPr>
            <w:r>
              <w:rPr>
                <w:rFonts w:hint="eastAsia" w:ascii="宋体" w:hAnsi="宋体"/>
                <w:lang w:eastAsia="zh-CN"/>
              </w:rPr>
              <w:t>Windows 10或以上正版操作系统。</w:t>
            </w:r>
          </w:p>
        </w:tc>
        <w:tc>
          <w:tcPr>
            <w:tcW w:w="1081" w:type="dxa"/>
            <w:vMerge w:val="continue"/>
            <w:vAlign w:val="center"/>
          </w:tcPr>
          <w:p>
            <w:pPr>
              <w:spacing w:line="360" w:lineRule="auto"/>
              <w:jc w:val="center"/>
              <w:rPr>
                <w:rFonts w:hint="eastAsia" w:ascii="宋体" w:hAnsi="宋体"/>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21" w:type="dxa"/>
            <w:tcBorders>
              <w:right w:val="nil"/>
            </w:tcBorders>
            <w:vAlign w:val="center"/>
          </w:tcPr>
          <w:p>
            <w:pPr>
              <w:spacing w:line="360" w:lineRule="auto"/>
              <w:jc w:val="center"/>
              <w:rPr>
                <w:rFonts w:hint="default" w:ascii="宋体" w:hAnsi="宋体"/>
                <w:lang w:val="en-US" w:eastAsia="zh-CN"/>
              </w:rPr>
            </w:pPr>
            <w:r>
              <w:rPr>
                <w:rFonts w:hint="eastAsia" w:ascii="宋体" w:hAnsi="宋体"/>
                <w:lang w:eastAsia="zh-CN"/>
              </w:rPr>
              <w:t>数量</w:t>
            </w:r>
            <w:r>
              <w:rPr>
                <w:rFonts w:hint="eastAsia" w:ascii="宋体" w:hAnsi="宋体"/>
                <w:lang w:val="en-US" w:eastAsia="zh-CN"/>
              </w:rPr>
              <w:t>:</w:t>
            </w:r>
          </w:p>
        </w:tc>
        <w:tc>
          <w:tcPr>
            <w:tcW w:w="5520" w:type="dxa"/>
            <w:tcBorders>
              <w:left w:val="nil"/>
            </w:tcBorders>
            <w:vAlign w:val="center"/>
          </w:tcPr>
          <w:p>
            <w:pPr>
              <w:spacing w:line="360" w:lineRule="auto"/>
              <w:jc w:val="center"/>
              <w:rPr>
                <w:rFonts w:hint="eastAsia" w:ascii="宋体" w:hAnsi="宋体"/>
              </w:rPr>
            </w:pPr>
          </w:p>
        </w:tc>
        <w:tc>
          <w:tcPr>
            <w:tcW w:w="1081" w:type="dxa"/>
            <w:vAlign w:val="center"/>
          </w:tcPr>
          <w:p>
            <w:pPr>
              <w:spacing w:line="360" w:lineRule="auto"/>
              <w:jc w:val="center"/>
              <w:rPr>
                <w:rFonts w:hint="default" w:ascii="宋体" w:hAnsi="宋体"/>
                <w:lang w:val="en-US" w:eastAsia="zh-CN"/>
              </w:rPr>
            </w:pPr>
            <w:r>
              <w:rPr>
                <w:rFonts w:hint="eastAsia" w:ascii="宋体" w:hAnsi="宋体"/>
                <w:lang w:val="en-US" w:eastAsia="zh-CN"/>
              </w:rPr>
              <w:t>5套</w:t>
            </w:r>
          </w:p>
        </w:tc>
      </w:tr>
    </w:tbl>
    <w:p>
      <w:pPr>
        <w:spacing w:line="360" w:lineRule="auto"/>
        <w:rPr>
          <w:rFonts w:hint="eastAsia" w:ascii="宋体" w:hAnsi="宋体"/>
          <w:b/>
          <w:sz w:val="24"/>
          <w:szCs w:val="24"/>
          <w:lang w:val="en-US" w:eastAsia="zh-CN"/>
        </w:rPr>
      </w:pPr>
    </w:p>
    <w:p>
      <w:pPr>
        <w:spacing w:line="360" w:lineRule="auto"/>
        <w:rPr>
          <w:rFonts w:hint="eastAsia" w:ascii="宋体" w:hAnsi="宋体"/>
          <w:b/>
          <w:sz w:val="24"/>
          <w:szCs w:val="24"/>
          <w:lang w:val="en-US" w:eastAsia="zh-CN"/>
        </w:rPr>
      </w:pPr>
      <w:r>
        <w:rPr>
          <w:rFonts w:hint="eastAsia" w:ascii="宋体" w:hAnsi="宋体"/>
          <w:b/>
          <w:sz w:val="24"/>
          <w:szCs w:val="24"/>
          <w:lang w:val="en-US" w:eastAsia="zh-CN"/>
        </w:rPr>
        <w:t>三、商务要求</w:t>
      </w:r>
    </w:p>
    <w:p>
      <w:pPr>
        <w:spacing w:line="360" w:lineRule="auto"/>
        <w:rPr>
          <w:rFonts w:hint="eastAsia" w:ascii="宋体" w:hAnsi="宋体"/>
        </w:rPr>
      </w:pPr>
      <w:r>
        <w:rPr>
          <w:rFonts w:hint="eastAsia" w:ascii="宋体" w:hAnsi="宋体"/>
          <w:lang w:val="en-US" w:eastAsia="zh-CN"/>
        </w:rPr>
        <w:t>1、</w:t>
      </w:r>
      <w:r>
        <w:rPr>
          <w:rFonts w:hint="eastAsia" w:ascii="宋体" w:hAnsi="宋体"/>
        </w:rPr>
        <w:t>供货要求：</w:t>
      </w:r>
    </w:p>
    <w:p>
      <w:pPr>
        <w:spacing w:line="360" w:lineRule="auto"/>
        <w:rPr>
          <w:rFonts w:hint="eastAsia" w:ascii="宋体" w:hAnsi="宋体"/>
        </w:rPr>
      </w:pPr>
      <w:r>
        <w:rPr>
          <w:rFonts w:hint="eastAsia" w:ascii="宋体" w:hAnsi="宋体"/>
          <w:lang w:eastAsia="zh-CN"/>
        </w:rPr>
        <w:t>（</w:t>
      </w:r>
      <w:r>
        <w:rPr>
          <w:rFonts w:hint="eastAsia" w:ascii="宋体" w:hAnsi="宋体"/>
          <w:lang w:val="en-US" w:eastAsia="zh-CN"/>
        </w:rPr>
        <w:t>1</w:t>
      </w:r>
      <w:r>
        <w:rPr>
          <w:rFonts w:hint="eastAsia" w:ascii="宋体" w:hAnsi="宋体"/>
          <w:lang w:eastAsia="zh-CN"/>
        </w:rPr>
        <w:t>）</w:t>
      </w:r>
      <w:r>
        <w:rPr>
          <w:rFonts w:hint="eastAsia" w:ascii="宋体" w:hAnsi="宋体"/>
        </w:rPr>
        <w:t>投标人提供</w:t>
      </w:r>
      <w:r>
        <w:rPr>
          <w:rFonts w:hint="eastAsia" w:ascii="宋体" w:hAnsi="宋体"/>
          <w:lang w:eastAsia="zh-CN"/>
        </w:rPr>
        <w:t>的</w:t>
      </w:r>
      <w:r>
        <w:rPr>
          <w:rFonts w:hint="eastAsia" w:ascii="宋体" w:hAnsi="宋体"/>
        </w:rPr>
        <w:t>产品与医院</w:t>
      </w:r>
      <w:r>
        <w:rPr>
          <w:rFonts w:hint="eastAsia" w:ascii="宋体" w:hAnsi="宋体"/>
          <w:lang w:eastAsia="zh-CN"/>
        </w:rPr>
        <w:t>目前</w:t>
      </w:r>
      <w:r>
        <w:rPr>
          <w:rFonts w:hint="eastAsia" w:ascii="宋体" w:hAnsi="宋体"/>
        </w:rPr>
        <w:t>现有相关软件</w:t>
      </w:r>
      <w:r>
        <w:rPr>
          <w:rFonts w:hint="eastAsia" w:ascii="宋体" w:hAnsi="宋体"/>
          <w:lang w:eastAsia="zh-CN"/>
        </w:rPr>
        <w:t>无缝进行</w:t>
      </w:r>
      <w:r>
        <w:rPr>
          <w:rFonts w:hint="eastAsia" w:ascii="宋体" w:hAnsi="宋体"/>
        </w:rPr>
        <w:t>对接。</w:t>
      </w:r>
    </w:p>
    <w:p>
      <w:pPr>
        <w:spacing w:line="360" w:lineRule="auto"/>
        <w:rPr>
          <w:rFonts w:hint="eastAsia" w:ascii="宋体" w:hAnsi="宋体"/>
        </w:rPr>
      </w:pPr>
      <w:r>
        <w:rPr>
          <w:rFonts w:hint="eastAsia" w:ascii="宋体" w:hAnsi="宋体"/>
          <w:lang w:eastAsia="zh-CN"/>
        </w:rPr>
        <w:t>（</w:t>
      </w:r>
      <w:r>
        <w:rPr>
          <w:rFonts w:hint="eastAsia" w:ascii="宋体" w:hAnsi="宋体"/>
          <w:lang w:val="en-US" w:eastAsia="zh-CN"/>
        </w:rPr>
        <w:t>2</w:t>
      </w:r>
      <w:r>
        <w:rPr>
          <w:rFonts w:hint="eastAsia" w:ascii="宋体" w:hAnsi="宋体"/>
          <w:lang w:eastAsia="zh-CN"/>
        </w:rPr>
        <w:t>）</w:t>
      </w:r>
      <w:r>
        <w:rPr>
          <w:rFonts w:hint="eastAsia" w:ascii="宋体" w:hAnsi="宋体"/>
        </w:rPr>
        <w:t>投标人提供产品符合国家或行业标准，以及用户提出的有关应用需求，且不存在第三方侵权行为。</w:t>
      </w:r>
    </w:p>
    <w:p>
      <w:pPr>
        <w:spacing w:line="360" w:lineRule="auto"/>
        <w:rPr>
          <w:rFonts w:hint="eastAsia" w:ascii="宋体" w:hAnsi="宋体"/>
        </w:rPr>
      </w:pPr>
      <w:r>
        <w:rPr>
          <w:rFonts w:hint="eastAsia" w:ascii="宋体" w:hAnsi="宋体"/>
          <w:lang w:eastAsia="zh-CN"/>
        </w:rPr>
        <w:t>（</w:t>
      </w:r>
      <w:r>
        <w:rPr>
          <w:rFonts w:hint="eastAsia" w:ascii="宋体" w:hAnsi="宋体"/>
          <w:lang w:val="en-US" w:eastAsia="zh-CN"/>
        </w:rPr>
        <w:t>3</w:t>
      </w:r>
      <w:r>
        <w:rPr>
          <w:rFonts w:hint="eastAsia" w:ascii="宋体" w:hAnsi="宋体"/>
          <w:lang w:eastAsia="zh-CN"/>
        </w:rPr>
        <w:t>）</w:t>
      </w:r>
      <w:r>
        <w:rPr>
          <w:rFonts w:hint="eastAsia" w:ascii="宋体" w:hAnsi="宋体"/>
        </w:rPr>
        <w:t xml:space="preserve">投标人应具备信息化建设项目同类经验。 </w:t>
      </w:r>
    </w:p>
    <w:p>
      <w:pPr>
        <w:spacing w:line="360" w:lineRule="auto"/>
        <w:rPr>
          <w:rFonts w:hint="eastAsia" w:ascii="宋体" w:hAnsi="宋体"/>
        </w:rPr>
      </w:pPr>
      <w:r>
        <w:rPr>
          <w:rFonts w:hint="eastAsia" w:ascii="宋体" w:hAnsi="宋体"/>
          <w:lang w:val="en-US" w:eastAsia="zh-CN"/>
        </w:rPr>
        <w:t>2、</w:t>
      </w:r>
      <w:r>
        <w:rPr>
          <w:rFonts w:hint="eastAsia" w:ascii="宋体" w:hAnsi="宋体"/>
        </w:rPr>
        <w:t xml:space="preserve">工期要求： </w:t>
      </w:r>
    </w:p>
    <w:p>
      <w:pPr>
        <w:spacing w:line="360" w:lineRule="auto"/>
        <w:rPr>
          <w:rFonts w:hint="eastAsia" w:ascii="宋体" w:hAnsi="宋体"/>
        </w:rPr>
      </w:pPr>
      <w:r>
        <w:rPr>
          <w:rFonts w:hint="eastAsia" w:ascii="宋体" w:hAnsi="宋体"/>
          <w:lang w:eastAsia="zh-CN"/>
        </w:rPr>
        <w:t>（</w:t>
      </w:r>
      <w:r>
        <w:rPr>
          <w:rFonts w:hint="eastAsia" w:ascii="宋体" w:hAnsi="宋体"/>
          <w:lang w:val="en-US" w:eastAsia="zh-CN"/>
        </w:rPr>
        <w:t>1</w:t>
      </w:r>
      <w:r>
        <w:rPr>
          <w:rFonts w:hint="eastAsia" w:ascii="宋体" w:hAnsi="宋体"/>
          <w:lang w:eastAsia="zh-CN"/>
        </w:rPr>
        <w:t>）</w:t>
      </w:r>
      <w:r>
        <w:rPr>
          <w:rFonts w:hint="eastAsia" w:ascii="宋体" w:hAnsi="宋体"/>
        </w:rPr>
        <w:t>项目应于合同签订后，3个月内完成系统实施工作，并完成对使用单位相关人员的操作与使用培训。</w:t>
      </w:r>
    </w:p>
    <w:p>
      <w:pPr>
        <w:spacing w:line="360" w:lineRule="auto"/>
        <w:rPr>
          <w:rFonts w:hint="eastAsia" w:ascii="宋体" w:hAnsi="宋体"/>
        </w:rPr>
      </w:pPr>
      <w:r>
        <w:rPr>
          <w:rFonts w:hint="eastAsia" w:ascii="宋体" w:hAnsi="宋体"/>
          <w:lang w:val="en-US" w:eastAsia="zh-CN"/>
        </w:rPr>
        <w:t>3、</w:t>
      </w:r>
      <w:r>
        <w:rPr>
          <w:rFonts w:hint="eastAsia" w:ascii="宋体" w:hAnsi="宋体"/>
        </w:rPr>
        <w:t>交货地点：采购人指定地点。</w:t>
      </w:r>
    </w:p>
    <w:p>
      <w:pPr>
        <w:spacing w:line="360" w:lineRule="auto"/>
        <w:rPr>
          <w:rFonts w:hint="eastAsia" w:ascii="宋体" w:hAnsi="宋体"/>
        </w:rPr>
      </w:pPr>
      <w:r>
        <w:rPr>
          <w:rFonts w:hint="eastAsia" w:ascii="宋体" w:hAnsi="宋体"/>
          <w:lang w:val="en-US" w:eastAsia="zh-CN"/>
        </w:rPr>
        <w:t>4、</w:t>
      </w:r>
      <w:r>
        <w:rPr>
          <w:rFonts w:hint="eastAsia" w:ascii="宋体" w:hAnsi="宋体"/>
        </w:rPr>
        <w:t>验收要求：</w:t>
      </w:r>
    </w:p>
    <w:p>
      <w:pPr>
        <w:spacing w:line="360" w:lineRule="auto"/>
        <w:rPr>
          <w:rFonts w:hint="eastAsia" w:ascii="宋体" w:hAnsi="宋体"/>
        </w:rPr>
      </w:pPr>
      <w:r>
        <w:rPr>
          <w:rFonts w:hint="eastAsia" w:ascii="宋体" w:hAnsi="宋体"/>
          <w:lang w:eastAsia="zh-CN"/>
        </w:rPr>
        <w:t>（</w:t>
      </w:r>
      <w:r>
        <w:rPr>
          <w:rFonts w:hint="eastAsia" w:ascii="宋体" w:hAnsi="宋体"/>
          <w:lang w:val="en-US" w:eastAsia="zh-CN"/>
        </w:rPr>
        <w:t>1</w:t>
      </w:r>
      <w:r>
        <w:rPr>
          <w:rFonts w:hint="eastAsia" w:ascii="宋体" w:hAnsi="宋体"/>
          <w:lang w:eastAsia="zh-CN"/>
        </w:rPr>
        <w:t>）</w:t>
      </w:r>
      <w:r>
        <w:rPr>
          <w:rFonts w:hint="eastAsia" w:ascii="宋体" w:hAnsi="宋体"/>
        </w:rPr>
        <w:t>项目完工后，采购人应组织验收工作。</w:t>
      </w:r>
    </w:p>
    <w:p>
      <w:pPr>
        <w:spacing w:line="360" w:lineRule="auto"/>
        <w:rPr>
          <w:rFonts w:hint="eastAsia" w:ascii="宋体" w:hAnsi="宋体"/>
        </w:rPr>
      </w:pPr>
      <w:r>
        <w:rPr>
          <w:rFonts w:hint="eastAsia" w:ascii="宋体" w:hAnsi="宋体"/>
          <w:lang w:eastAsia="zh-CN"/>
        </w:rPr>
        <w:t>（</w:t>
      </w:r>
      <w:r>
        <w:rPr>
          <w:rFonts w:hint="eastAsia" w:ascii="宋体" w:hAnsi="宋体"/>
          <w:lang w:val="en-US" w:eastAsia="zh-CN"/>
        </w:rPr>
        <w:t>2</w:t>
      </w:r>
      <w:r>
        <w:rPr>
          <w:rFonts w:hint="eastAsia" w:ascii="宋体" w:hAnsi="宋体"/>
          <w:lang w:eastAsia="zh-CN"/>
        </w:rPr>
        <w:t>）</w:t>
      </w:r>
      <w:r>
        <w:rPr>
          <w:rFonts w:hint="eastAsia" w:ascii="宋体" w:hAnsi="宋体"/>
        </w:rPr>
        <w:t>中标供应商应负责在项目验收时将系统的全部有关产品说明书、原厂家安装手册、技术文件、资料、及安装、验收报告等文档汇集成册交付设备使用单位和监理单位。</w:t>
      </w:r>
    </w:p>
    <w:p>
      <w:pPr>
        <w:spacing w:line="360" w:lineRule="auto"/>
        <w:rPr>
          <w:rFonts w:hint="eastAsia" w:ascii="宋体" w:hAnsi="宋体"/>
        </w:rPr>
      </w:pPr>
      <w:r>
        <w:rPr>
          <w:rFonts w:hint="eastAsia" w:ascii="宋体" w:hAnsi="宋体"/>
          <w:lang w:val="en-US" w:eastAsia="zh-CN"/>
        </w:rPr>
        <w:t>5、</w:t>
      </w:r>
      <w:r>
        <w:rPr>
          <w:rFonts w:hint="eastAsia" w:ascii="宋体" w:hAnsi="宋体"/>
        </w:rPr>
        <w:t>响应时间：</w:t>
      </w:r>
    </w:p>
    <w:p>
      <w:pPr>
        <w:spacing w:line="360" w:lineRule="auto"/>
        <w:rPr>
          <w:rFonts w:hint="eastAsia" w:ascii="宋体" w:hAnsi="宋体"/>
        </w:rPr>
      </w:pPr>
      <w:r>
        <w:rPr>
          <w:rFonts w:hint="eastAsia" w:ascii="宋体" w:hAnsi="宋体"/>
          <w:lang w:eastAsia="zh-CN"/>
        </w:rPr>
        <w:t>（</w:t>
      </w:r>
      <w:r>
        <w:rPr>
          <w:rFonts w:hint="eastAsia" w:ascii="宋体" w:hAnsi="宋体"/>
          <w:lang w:val="en-US" w:eastAsia="zh-CN"/>
        </w:rPr>
        <w:t>1</w:t>
      </w:r>
      <w:r>
        <w:rPr>
          <w:rFonts w:hint="eastAsia" w:ascii="宋体" w:hAnsi="宋体"/>
          <w:lang w:eastAsia="zh-CN"/>
        </w:rPr>
        <w:t>）</w:t>
      </w:r>
      <w:r>
        <w:rPr>
          <w:rFonts w:hint="eastAsia" w:ascii="宋体" w:hAnsi="宋体"/>
        </w:rPr>
        <w:t>提供7×24小时电话技术支持，软件故障报修的响应时间：1小时，若电话中无法解决，4小时内到达现场进行维护。除特殊情况外，故障排除时间不超过24小时。</w:t>
      </w:r>
    </w:p>
    <w:p>
      <w:pPr>
        <w:spacing w:line="360" w:lineRule="auto"/>
        <w:rPr>
          <w:rFonts w:hint="eastAsia" w:ascii="宋体" w:hAnsi="宋体"/>
        </w:rPr>
      </w:pPr>
      <w:r>
        <w:rPr>
          <w:rFonts w:hint="eastAsia" w:ascii="宋体" w:hAnsi="宋体"/>
          <w:lang w:val="en-US" w:eastAsia="zh-CN"/>
        </w:rPr>
        <w:t>6、售后服务要求：</w:t>
      </w:r>
      <w:r>
        <w:rPr>
          <w:rFonts w:hint="eastAsia" w:ascii="宋体" w:hAnsi="宋体"/>
        </w:rPr>
        <w:t xml:space="preserve"> </w:t>
      </w:r>
    </w:p>
    <w:p>
      <w:pPr>
        <w:spacing w:line="360" w:lineRule="auto"/>
        <w:rPr>
          <w:rFonts w:hint="eastAsia" w:ascii="宋体" w:hAnsi="宋体"/>
        </w:rPr>
      </w:pPr>
      <w:r>
        <w:rPr>
          <w:rFonts w:hint="eastAsia" w:ascii="宋体" w:hAnsi="宋体"/>
          <w:lang w:eastAsia="zh-CN"/>
        </w:rPr>
        <w:t>（</w:t>
      </w:r>
      <w:r>
        <w:rPr>
          <w:rFonts w:hint="eastAsia" w:ascii="宋体" w:hAnsi="宋体"/>
          <w:lang w:val="en-US" w:eastAsia="zh-CN"/>
        </w:rPr>
        <w:t>1</w:t>
      </w:r>
      <w:r>
        <w:rPr>
          <w:rFonts w:hint="eastAsia" w:ascii="宋体" w:hAnsi="宋体"/>
          <w:lang w:eastAsia="zh-CN"/>
        </w:rPr>
        <w:t>）</w:t>
      </w:r>
      <w:r>
        <w:rPr>
          <w:rFonts w:hint="eastAsia" w:ascii="宋体" w:hAnsi="宋体"/>
        </w:rPr>
        <w:t>免费质保期期限：软件系统自验收之日起，免费质保期2年。</w:t>
      </w:r>
    </w:p>
    <w:p>
      <w:pPr>
        <w:spacing w:line="360" w:lineRule="auto"/>
        <w:rPr>
          <w:rFonts w:hint="eastAsia" w:ascii="宋体" w:hAnsi="宋体"/>
        </w:rPr>
      </w:pPr>
      <w:r>
        <w:rPr>
          <w:rFonts w:hint="eastAsia" w:ascii="宋体" w:hAnsi="宋体"/>
          <w:lang w:eastAsia="zh-CN"/>
        </w:rPr>
        <w:t>（</w:t>
      </w:r>
      <w:r>
        <w:rPr>
          <w:rFonts w:hint="eastAsia" w:ascii="宋体" w:hAnsi="宋体"/>
          <w:lang w:val="en-US" w:eastAsia="zh-CN"/>
        </w:rPr>
        <w:t>2</w:t>
      </w:r>
      <w:r>
        <w:rPr>
          <w:rFonts w:hint="eastAsia" w:ascii="宋体" w:hAnsi="宋体"/>
          <w:lang w:eastAsia="zh-CN"/>
        </w:rPr>
        <w:t>）</w:t>
      </w:r>
      <w:r>
        <w:rPr>
          <w:rFonts w:hint="eastAsia" w:ascii="宋体" w:hAnsi="宋体"/>
        </w:rPr>
        <w:t>质保期内，服务单位</w:t>
      </w:r>
      <w:r>
        <w:rPr>
          <w:rFonts w:hint="eastAsia" w:ascii="宋体" w:hAnsi="宋体"/>
          <w:lang w:eastAsia="zh-CN"/>
        </w:rPr>
        <w:t>应提供</w:t>
      </w:r>
      <w:r>
        <w:rPr>
          <w:rFonts w:hint="eastAsia" w:ascii="宋体" w:hAnsi="宋体"/>
          <w:lang w:val="en-US" w:eastAsia="zh-CN"/>
        </w:rPr>
        <w:t>PACS系统免费维护服务，并</w:t>
      </w:r>
      <w:r>
        <w:rPr>
          <w:rFonts w:hint="eastAsia" w:ascii="宋体" w:hAnsi="宋体"/>
        </w:rPr>
        <w:t>配合完善</w:t>
      </w:r>
      <w:r>
        <w:rPr>
          <w:rFonts w:hint="eastAsia" w:ascii="宋体" w:hAnsi="宋体"/>
          <w:lang w:eastAsia="zh-CN"/>
        </w:rPr>
        <w:t>相关</w:t>
      </w:r>
      <w:r>
        <w:rPr>
          <w:rFonts w:hint="eastAsia" w:ascii="宋体" w:hAnsi="宋体"/>
        </w:rPr>
        <w:t>功能调整任务。质保期后，如采购人要求，中标人应长期负责有偿优惠维护升级。</w:t>
      </w:r>
    </w:p>
    <w:p>
      <w:pPr>
        <w:spacing w:line="360" w:lineRule="auto"/>
        <w:rPr>
          <w:rFonts w:hint="eastAsia" w:ascii="宋体" w:hAnsi="宋体"/>
        </w:rPr>
      </w:pPr>
      <w:r>
        <w:rPr>
          <w:rFonts w:hint="eastAsia" w:ascii="宋体" w:hAnsi="宋体"/>
          <w:lang w:eastAsia="zh-CN"/>
        </w:rPr>
        <w:t>（</w:t>
      </w:r>
      <w:r>
        <w:rPr>
          <w:rFonts w:hint="eastAsia" w:ascii="宋体" w:hAnsi="宋体"/>
          <w:lang w:val="en-US" w:eastAsia="zh-CN"/>
        </w:rPr>
        <w:t>3</w:t>
      </w:r>
      <w:r>
        <w:rPr>
          <w:rFonts w:hint="eastAsia" w:ascii="宋体" w:hAnsi="宋体"/>
          <w:lang w:eastAsia="zh-CN"/>
        </w:rPr>
        <w:t>）</w:t>
      </w:r>
      <w:r>
        <w:rPr>
          <w:rFonts w:hint="eastAsia" w:ascii="宋体" w:hAnsi="宋体"/>
        </w:rPr>
        <w:t>保修期自双方代表在软件的验收证明文件上签字之日起计算，保修费用已计入总价，并以书面形式承诺。成交人提供免费人力。</w:t>
      </w:r>
    </w:p>
    <w:p>
      <w:pPr>
        <w:spacing w:line="360" w:lineRule="auto"/>
        <w:rPr>
          <w:rFonts w:hint="eastAsia" w:ascii="宋体" w:hAnsi="宋体"/>
        </w:rPr>
      </w:pPr>
      <w:r>
        <w:rPr>
          <w:rFonts w:hint="eastAsia" w:ascii="宋体" w:hAnsi="宋体"/>
          <w:lang w:eastAsia="zh-CN"/>
        </w:rPr>
        <w:t>（</w:t>
      </w:r>
      <w:r>
        <w:rPr>
          <w:rFonts w:hint="eastAsia" w:ascii="宋体" w:hAnsi="宋体"/>
          <w:lang w:val="en-US" w:eastAsia="zh-CN"/>
        </w:rPr>
        <w:t>4</w:t>
      </w:r>
      <w:r>
        <w:rPr>
          <w:rFonts w:hint="eastAsia" w:ascii="宋体" w:hAnsi="宋体"/>
          <w:lang w:eastAsia="zh-CN"/>
        </w:rPr>
        <w:t>）</w:t>
      </w:r>
      <w:r>
        <w:rPr>
          <w:rFonts w:hint="eastAsia" w:ascii="宋体" w:hAnsi="宋体"/>
        </w:rPr>
        <w:t>质保期内，所有软件服务均为上门服务，由此产生的费用均不再收取。</w:t>
      </w:r>
    </w:p>
    <w:p>
      <w:pPr>
        <w:spacing w:line="360" w:lineRule="auto"/>
        <w:rPr>
          <w:rFonts w:hint="eastAsia" w:ascii="宋体" w:hAnsi="宋体"/>
          <w:lang w:val="en-US" w:eastAsia="zh-CN"/>
        </w:rPr>
      </w:pPr>
      <w:r>
        <w:rPr>
          <w:rFonts w:hint="eastAsia" w:ascii="宋体" w:hAnsi="宋体"/>
          <w:lang w:val="en-US" w:eastAsia="zh-CN"/>
        </w:rPr>
        <w:t>7、付款方式：</w:t>
      </w:r>
    </w:p>
    <w:p>
      <w:pPr>
        <w:spacing w:line="360" w:lineRule="auto"/>
        <w:rPr>
          <w:rFonts w:hint="eastAsia" w:ascii="宋体" w:hAnsi="宋体"/>
          <w:lang w:val="en-US" w:eastAsia="zh-CN"/>
        </w:rPr>
      </w:pPr>
      <w:r>
        <w:rPr>
          <w:rFonts w:hint="eastAsia" w:ascii="宋体" w:hAnsi="宋体"/>
          <w:lang w:val="en-US" w:eastAsia="zh-CN"/>
        </w:rPr>
        <w:t>（1）合同签订后10个工作日内，采购人向中标人支付合同总价的30%</w:t>
      </w:r>
    </w:p>
    <w:p>
      <w:pPr>
        <w:spacing w:line="360" w:lineRule="auto"/>
        <w:rPr>
          <w:rFonts w:hint="eastAsia" w:ascii="宋体" w:hAnsi="宋体"/>
          <w:lang w:val="en-US" w:eastAsia="zh-CN"/>
        </w:rPr>
      </w:pPr>
      <w:r>
        <w:rPr>
          <w:rFonts w:hint="eastAsia" w:ascii="宋体" w:hAnsi="宋体"/>
          <w:lang w:val="en-US" w:eastAsia="zh-CN"/>
        </w:rPr>
        <w:t>（2）系统安装完成软件、硬件的安装调试并试运行，凭相应的软件安装验收报告经采购人签字确认后，采购人向中标人支付合同总额的70%</w:t>
      </w:r>
    </w:p>
    <w:p>
      <w:pPr>
        <w:spacing w:line="360" w:lineRule="auto"/>
        <w:rPr>
          <w:rFonts w:hint="eastAsia" w:ascii="宋体" w:hAnsi="宋体"/>
          <w:lang w:val="en-US" w:eastAsia="zh-CN"/>
        </w:rPr>
      </w:pPr>
      <w:r>
        <w:rPr>
          <w:rFonts w:hint="eastAsia" w:ascii="宋体" w:hAnsi="宋体"/>
          <w:lang w:val="en-US" w:eastAsia="zh-CN"/>
        </w:rPr>
        <w:t>（3）合同签订后，5个工作日内，中标人向采购人支付合同总价的5%作为履约保证金，待免费质保期结束后无息退还。</w:t>
      </w:r>
    </w:p>
    <w:p>
      <w:pPr>
        <w:spacing w:line="360" w:lineRule="auto"/>
        <w:rPr>
          <w:rFonts w:hint="eastAsia" w:ascii="宋体" w:hAnsi="宋体"/>
          <w:lang w:val="en-US" w:eastAsia="zh-CN"/>
        </w:rPr>
      </w:pPr>
      <w:r>
        <w:rPr>
          <w:rFonts w:hint="eastAsia" w:ascii="宋体" w:hAnsi="宋体"/>
          <w:lang w:val="en-US" w:eastAsia="zh-CN"/>
        </w:rPr>
        <w:t>6、培训要求：</w:t>
      </w:r>
    </w:p>
    <w:p>
      <w:pPr>
        <w:spacing w:line="360" w:lineRule="auto"/>
        <w:rPr>
          <w:rFonts w:hint="eastAsia" w:ascii="宋体" w:hAnsi="宋体"/>
        </w:rPr>
      </w:pPr>
      <w:r>
        <w:rPr>
          <w:rFonts w:hint="eastAsia" w:ascii="宋体" w:hAnsi="宋体"/>
          <w:lang w:eastAsia="zh-CN"/>
        </w:rPr>
        <w:t>（</w:t>
      </w:r>
      <w:r>
        <w:rPr>
          <w:rFonts w:hint="eastAsia" w:ascii="宋体" w:hAnsi="宋体"/>
          <w:lang w:val="en-US" w:eastAsia="zh-CN"/>
        </w:rPr>
        <w:t>1</w:t>
      </w:r>
      <w:r>
        <w:rPr>
          <w:rFonts w:hint="eastAsia" w:ascii="宋体" w:hAnsi="宋体"/>
          <w:lang w:eastAsia="zh-CN"/>
        </w:rPr>
        <w:t>）</w:t>
      </w:r>
      <w:r>
        <w:rPr>
          <w:rFonts w:hint="eastAsia" w:ascii="宋体" w:hAnsi="宋体"/>
        </w:rPr>
        <w:t>制定详细的培训方案，提供技术培训、操作培训和现场指导，完成对系统集成、开发技术及工具等在内的全部免费培训。培训方案要详细描述每次培训的具体内容、深度和时间安排。</w:t>
      </w:r>
    </w:p>
    <w:p>
      <w:pPr>
        <w:spacing w:line="360" w:lineRule="auto"/>
        <w:rPr>
          <w:rFonts w:hint="eastAsia" w:ascii="宋体" w:hAnsi="宋体"/>
        </w:rPr>
      </w:pPr>
      <w:r>
        <w:rPr>
          <w:rFonts w:hint="eastAsia" w:ascii="宋体" w:hAnsi="宋体"/>
          <w:lang w:eastAsia="zh-CN"/>
        </w:rPr>
        <w:t>（</w:t>
      </w:r>
      <w:r>
        <w:rPr>
          <w:rFonts w:hint="eastAsia" w:ascii="宋体" w:hAnsi="宋体"/>
          <w:lang w:val="en-US" w:eastAsia="zh-CN"/>
        </w:rPr>
        <w:t>2</w:t>
      </w:r>
      <w:r>
        <w:rPr>
          <w:rFonts w:hint="eastAsia" w:ascii="宋体" w:hAnsi="宋体"/>
          <w:lang w:eastAsia="zh-CN"/>
        </w:rPr>
        <w:t>）</w:t>
      </w:r>
      <w:r>
        <w:rPr>
          <w:rFonts w:hint="eastAsia" w:ascii="宋体" w:hAnsi="宋体"/>
        </w:rPr>
        <w:t>培训方式应包括技术讲课、操作示范、参观学习和其它必须的业务指导和技术咨询，确保培训人员对系统基本原理、技术特性、操作规范、运行规程、管理维护等方面获得全面了解和掌握。</w:t>
      </w:r>
    </w:p>
    <w:p>
      <w:pPr>
        <w:spacing w:line="360" w:lineRule="auto"/>
        <w:rPr>
          <w:rFonts w:asciiTheme="minorEastAsia" w:hAnsiTheme="minorEastAsia" w:eastAsiaTheme="minorEastAsia"/>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7154F5"/>
    <w:multiLevelType w:val="singleLevel"/>
    <w:tmpl w:val="897154F5"/>
    <w:lvl w:ilvl="0" w:tentative="0">
      <w:start w:val="1"/>
      <w:numFmt w:val="bullet"/>
      <w:lvlText w:val=""/>
      <w:lvlJc w:val="left"/>
      <w:pPr>
        <w:ind w:left="420" w:hanging="420"/>
      </w:pPr>
      <w:rPr>
        <w:rFonts w:hint="default" w:ascii="Wingdings" w:hAnsi="Wingdings"/>
      </w:rPr>
    </w:lvl>
  </w:abstractNum>
  <w:abstractNum w:abstractNumId="1">
    <w:nsid w:val="8CE7E2BB"/>
    <w:multiLevelType w:val="singleLevel"/>
    <w:tmpl w:val="8CE7E2BB"/>
    <w:lvl w:ilvl="0" w:tentative="0">
      <w:start w:val="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CD3"/>
    <w:rsid w:val="000036BC"/>
    <w:rsid w:val="000117B4"/>
    <w:rsid w:val="00025E2D"/>
    <w:rsid w:val="0003339B"/>
    <w:rsid w:val="00035EDE"/>
    <w:rsid w:val="00057B3E"/>
    <w:rsid w:val="00067850"/>
    <w:rsid w:val="000867B0"/>
    <w:rsid w:val="00091106"/>
    <w:rsid w:val="000B69F5"/>
    <w:rsid w:val="000B7575"/>
    <w:rsid w:val="0010285E"/>
    <w:rsid w:val="00110A1A"/>
    <w:rsid w:val="00113B8D"/>
    <w:rsid w:val="001323B9"/>
    <w:rsid w:val="00145637"/>
    <w:rsid w:val="00150D56"/>
    <w:rsid w:val="00157D97"/>
    <w:rsid w:val="00173F12"/>
    <w:rsid w:val="0018732E"/>
    <w:rsid w:val="001A5729"/>
    <w:rsid w:val="001B258D"/>
    <w:rsid w:val="001B39D8"/>
    <w:rsid w:val="001D4FF0"/>
    <w:rsid w:val="001E5224"/>
    <w:rsid w:val="001E6B5C"/>
    <w:rsid w:val="001F08F1"/>
    <w:rsid w:val="00204D64"/>
    <w:rsid w:val="002567EB"/>
    <w:rsid w:val="00271830"/>
    <w:rsid w:val="00285B9D"/>
    <w:rsid w:val="002A1B20"/>
    <w:rsid w:val="002C3712"/>
    <w:rsid w:val="002E6863"/>
    <w:rsid w:val="002F3539"/>
    <w:rsid w:val="002F44E7"/>
    <w:rsid w:val="0030302E"/>
    <w:rsid w:val="0030554F"/>
    <w:rsid w:val="0031529F"/>
    <w:rsid w:val="00327CF4"/>
    <w:rsid w:val="003364D6"/>
    <w:rsid w:val="00337EB0"/>
    <w:rsid w:val="0034254E"/>
    <w:rsid w:val="00344907"/>
    <w:rsid w:val="003529F0"/>
    <w:rsid w:val="00355CAB"/>
    <w:rsid w:val="003678E1"/>
    <w:rsid w:val="0038138A"/>
    <w:rsid w:val="00385741"/>
    <w:rsid w:val="00386DF0"/>
    <w:rsid w:val="0039003C"/>
    <w:rsid w:val="003910EC"/>
    <w:rsid w:val="003A5B98"/>
    <w:rsid w:val="003C3B17"/>
    <w:rsid w:val="003C3E10"/>
    <w:rsid w:val="003D1451"/>
    <w:rsid w:val="003F3821"/>
    <w:rsid w:val="003F4A4F"/>
    <w:rsid w:val="00413E54"/>
    <w:rsid w:val="0041491B"/>
    <w:rsid w:val="0041735B"/>
    <w:rsid w:val="0042477F"/>
    <w:rsid w:val="004262FA"/>
    <w:rsid w:val="00427E5B"/>
    <w:rsid w:val="00433967"/>
    <w:rsid w:val="00456BD9"/>
    <w:rsid w:val="0046418D"/>
    <w:rsid w:val="00473802"/>
    <w:rsid w:val="00473D81"/>
    <w:rsid w:val="0049317C"/>
    <w:rsid w:val="00494A54"/>
    <w:rsid w:val="004A3FA3"/>
    <w:rsid w:val="004A7CD9"/>
    <w:rsid w:val="004D1BF8"/>
    <w:rsid w:val="004E4CE2"/>
    <w:rsid w:val="004F0E85"/>
    <w:rsid w:val="004F2394"/>
    <w:rsid w:val="0051059F"/>
    <w:rsid w:val="005148BA"/>
    <w:rsid w:val="005256A7"/>
    <w:rsid w:val="005312B9"/>
    <w:rsid w:val="00534438"/>
    <w:rsid w:val="00536D8E"/>
    <w:rsid w:val="0058066D"/>
    <w:rsid w:val="005B7159"/>
    <w:rsid w:val="005B7208"/>
    <w:rsid w:val="005C53B9"/>
    <w:rsid w:val="005D3CD3"/>
    <w:rsid w:val="005E64CD"/>
    <w:rsid w:val="005F5B34"/>
    <w:rsid w:val="00601AFA"/>
    <w:rsid w:val="00611128"/>
    <w:rsid w:val="00635EC4"/>
    <w:rsid w:val="00643AE3"/>
    <w:rsid w:val="006531AE"/>
    <w:rsid w:val="00655090"/>
    <w:rsid w:val="00662361"/>
    <w:rsid w:val="006704D7"/>
    <w:rsid w:val="00684539"/>
    <w:rsid w:val="00692736"/>
    <w:rsid w:val="006A5878"/>
    <w:rsid w:val="006B3884"/>
    <w:rsid w:val="006D4019"/>
    <w:rsid w:val="006D484A"/>
    <w:rsid w:val="006D5225"/>
    <w:rsid w:val="006D7781"/>
    <w:rsid w:val="006E270D"/>
    <w:rsid w:val="006F25D6"/>
    <w:rsid w:val="006F5FB0"/>
    <w:rsid w:val="007010DF"/>
    <w:rsid w:val="007020D7"/>
    <w:rsid w:val="00720EA6"/>
    <w:rsid w:val="00724138"/>
    <w:rsid w:val="0073607A"/>
    <w:rsid w:val="00744875"/>
    <w:rsid w:val="007522B3"/>
    <w:rsid w:val="00760207"/>
    <w:rsid w:val="007610B3"/>
    <w:rsid w:val="00761E0B"/>
    <w:rsid w:val="00762205"/>
    <w:rsid w:val="00765082"/>
    <w:rsid w:val="00776E37"/>
    <w:rsid w:val="007852D7"/>
    <w:rsid w:val="007A3F4E"/>
    <w:rsid w:val="007B4336"/>
    <w:rsid w:val="007C2347"/>
    <w:rsid w:val="007C61F7"/>
    <w:rsid w:val="007D6F4C"/>
    <w:rsid w:val="007E1CD5"/>
    <w:rsid w:val="00803640"/>
    <w:rsid w:val="00824A8C"/>
    <w:rsid w:val="00833160"/>
    <w:rsid w:val="00841B9F"/>
    <w:rsid w:val="0085392C"/>
    <w:rsid w:val="00854633"/>
    <w:rsid w:val="00857C50"/>
    <w:rsid w:val="00863139"/>
    <w:rsid w:val="008957A8"/>
    <w:rsid w:val="008A2488"/>
    <w:rsid w:val="008B165C"/>
    <w:rsid w:val="008B2D56"/>
    <w:rsid w:val="008B67A5"/>
    <w:rsid w:val="008B7315"/>
    <w:rsid w:val="008C0CED"/>
    <w:rsid w:val="00900FCD"/>
    <w:rsid w:val="009368FA"/>
    <w:rsid w:val="00937EB8"/>
    <w:rsid w:val="00962513"/>
    <w:rsid w:val="009721BD"/>
    <w:rsid w:val="009B0A83"/>
    <w:rsid w:val="009C3ACF"/>
    <w:rsid w:val="009C3D57"/>
    <w:rsid w:val="009D17DE"/>
    <w:rsid w:val="009D1BE6"/>
    <w:rsid w:val="009E78EF"/>
    <w:rsid w:val="00A03D17"/>
    <w:rsid w:val="00A223B8"/>
    <w:rsid w:val="00A25B58"/>
    <w:rsid w:val="00A32A8A"/>
    <w:rsid w:val="00A467D3"/>
    <w:rsid w:val="00A735DA"/>
    <w:rsid w:val="00A779E6"/>
    <w:rsid w:val="00AC59CA"/>
    <w:rsid w:val="00AD0526"/>
    <w:rsid w:val="00AD4317"/>
    <w:rsid w:val="00AE2137"/>
    <w:rsid w:val="00AE54B0"/>
    <w:rsid w:val="00AF541F"/>
    <w:rsid w:val="00B03C48"/>
    <w:rsid w:val="00B07382"/>
    <w:rsid w:val="00B1507B"/>
    <w:rsid w:val="00B33F2B"/>
    <w:rsid w:val="00B340B6"/>
    <w:rsid w:val="00B42C94"/>
    <w:rsid w:val="00B66C3D"/>
    <w:rsid w:val="00B707BB"/>
    <w:rsid w:val="00B72830"/>
    <w:rsid w:val="00B75AF7"/>
    <w:rsid w:val="00B85E7B"/>
    <w:rsid w:val="00B8639E"/>
    <w:rsid w:val="00B87BF7"/>
    <w:rsid w:val="00BA40F4"/>
    <w:rsid w:val="00BC58F4"/>
    <w:rsid w:val="00BD4E4A"/>
    <w:rsid w:val="00BE00FE"/>
    <w:rsid w:val="00BF583A"/>
    <w:rsid w:val="00C07642"/>
    <w:rsid w:val="00C16FFE"/>
    <w:rsid w:val="00C207B8"/>
    <w:rsid w:val="00C20D4A"/>
    <w:rsid w:val="00C32F16"/>
    <w:rsid w:val="00C32F8C"/>
    <w:rsid w:val="00C53668"/>
    <w:rsid w:val="00C61746"/>
    <w:rsid w:val="00C819F0"/>
    <w:rsid w:val="00C84298"/>
    <w:rsid w:val="00C85EFD"/>
    <w:rsid w:val="00CA23D5"/>
    <w:rsid w:val="00CD538B"/>
    <w:rsid w:val="00CE02EE"/>
    <w:rsid w:val="00CE590E"/>
    <w:rsid w:val="00CF0C54"/>
    <w:rsid w:val="00D00744"/>
    <w:rsid w:val="00D03113"/>
    <w:rsid w:val="00D15240"/>
    <w:rsid w:val="00D24D64"/>
    <w:rsid w:val="00D26CB9"/>
    <w:rsid w:val="00D303BA"/>
    <w:rsid w:val="00D31EE5"/>
    <w:rsid w:val="00D42EF7"/>
    <w:rsid w:val="00D679B5"/>
    <w:rsid w:val="00D83F40"/>
    <w:rsid w:val="00D87B85"/>
    <w:rsid w:val="00D90FAE"/>
    <w:rsid w:val="00D9226C"/>
    <w:rsid w:val="00DA34EA"/>
    <w:rsid w:val="00DC2720"/>
    <w:rsid w:val="00E00450"/>
    <w:rsid w:val="00E210D2"/>
    <w:rsid w:val="00E23349"/>
    <w:rsid w:val="00E31D71"/>
    <w:rsid w:val="00E464ED"/>
    <w:rsid w:val="00E51838"/>
    <w:rsid w:val="00E61F3B"/>
    <w:rsid w:val="00E627B0"/>
    <w:rsid w:val="00E640D7"/>
    <w:rsid w:val="00E6690D"/>
    <w:rsid w:val="00E832D7"/>
    <w:rsid w:val="00E85BE6"/>
    <w:rsid w:val="00E86640"/>
    <w:rsid w:val="00E93792"/>
    <w:rsid w:val="00EA405E"/>
    <w:rsid w:val="00EA4DBF"/>
    <w:rsid w:val="00EB029C"/>
    <w:rsid w:val="00EB4358"/>
    <w:rsid w:val="00EB756B"/>
    <w:rsid w:val="00ED1975"/>
    <w:rsid w:val="00EE2C09"/>
    <w:rsid w:val="00EF3F01"/>
    <w:rsid w:val="00EF45C6"/>
    <w:rsid w:val="00F10B28"/>
    <w:rsid w:val="00F263BC"/>
    <w:rsid w:val="00F33003"/>
    <w:rsid w:val="00F346F4"/>
    <w:rsid w:val="00F5447C"/>
    <w:rsid w:val="00F57874"/>
    <w:rsid w:val="00F653D9"/>
    <w:rsid w:val="00F9147A"/>
    <w:rsid w:val="00FA68D6"/>
    <w:rsid w:val="00FC768C"/>
    <w:rsid w:val="00FF5194"/>
    <w:rsid w:val="07512F5E"/>
    <w:rsid w:val="1ED77155"/>
    <w:rsid w:val="1F657D1F"/>
    <w:rsid w:val="271D0F5D"/>
    <w:rsid w:val="287B7D65"/>
    <w:rsid w:val="2EC23FDA"/>
    <w:rsid w:val="3E8A53DD"/>
    <w:rsid w:val="44A3791B"/>
    <w:rsid w:val="51A5238E"/>
    <w:rsid w:val="55080498"/>
    <w:rsid w:val="567724D1"/>
    <w:rsid w:val="5E564BD2"/>
    <w:rsid w:val="66A813FD"/>
    <w:rsid w:val="6C141EFD"/>
    <w:rsid w:val="6F0318CC"/>
    <w:rsid w:val="777463AF"/>
    <w:rsid w:val="7CF70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7">
    <w:name w:val="列出段落1"/>
    <w:basedOn w:val="1"/>
    <w:qFormat/>
    <w:uiPriority w:val="0"/>
    <w:pPr>
      <w:suppressAutoHyphens/>
      <w:ind w:firstLine="420"/>
    </w:pPr>
    <w:rPr>
      <w:rFonts w:ascii="Calibri" w:hAnsi="Calibri"/>
      <w:kern w:val="1"/>
      <w:szCs w:val="22"/>
    </w:rPr>
  </w:style>
  <w:style w:type="paragraph" w:customStyle="1" w:styleId="8">
    <w:name w:val="列出段落2"/>
    <w:basedOn w:val="1"/>
    <w:qFormat/>
    <w:uiPriority w:val="34"/>
    <w:pPr>
      <w:widowControl/>
      <w:ind w:firstLine="420" w:firstLineChars="200"/>
      <w:jc w:val="left"/>
    </w:pPr>
    <w:rPr>
      <w:rFonts w:ascii="Calibri" w:hAnsi="Calibri"/>
      <w:kern w:val="0"/>
      <w:sz w:val="22"/>
      <w:szCs w:val="22"/>
    </w:rPr>
  </w:style>
  <w:style w:type="character" w:customStyle="1" w:styleId="9">
    <w:name w:val="页眉 Char"/>
    <w:basedOn w:val="6"/>
    <w:link w:val="3"/>
    <w:semiHidden/>
    <w:qFormat/>
    <w:uiPriority w:val="99"/>
    <w:rPr>
      <w:rFonts w:ascii="Times New Roman" w:hAnsi="Times New Roman" w:eastAsia="宋体" w:cs="Times New Roman"/>
      <w:sz w:val="18"/>
      <w:szCs w:val="18"/>
    </w:rPr>
  </w:style>
  <w:style w:type="character" w:customStyle="1" w:styleId="10">
    <w:name w:val="页脚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3776</Words>
  <Characters>4015</Characters>
  <Lines>23</Lines>
  <Paragraphs>6</Paragraphs>
  <TotalTime>758</TotalTime>
  <ScaleCrop>false</ScaleCrop>
  <LinksUpToDate>false</LinksUpToDate>
  <CharactersWithSpaces>4053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2020-05-26T00:52:00Z</dcterms:created>
  <dc:creator>管理员</dc:creator>
  <cp:lastModifiedBy>刘卓宸</cp:lastModifiedBy>
  <cp:lastPrinted>2022-04-14T02:56:34Z</cp:lastPrinted>
  <dcterms:modified xsi:type="dcterms:W3CDTF">2022-04-15T07:04:42Z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433197DA663244198C1EC5C5E9B471D9</vt:lpwstr>
  </property>
</Properties>
</file>